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84" w:rsidRPr="00640CAD" w:rsidRDefault="0059190A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  <w:r w:rsidRPr="0010053C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Приложение</w:t>
      </w:r>
      <w:r w:rsidRPr="00D60A65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№</w:t>
      </w:r>
      <w:r w:rsidR="00D60A65" w:rsidRPr="00D60A65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2</w:t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F53D15" w:rsidRDefault="00640CAD" w:rsidP="00F53D15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640CAD">
        <w:rPr>
          <w:rFonts w:ascii="Times New Roman" w:hAnsi="Times New Roman" w:cs="Times New Roman"/>
          <w:b/>
          <w:smallCaps/>
          <w:color w:val="000000"/>
          <w:position w:val="8"/>
          <w:sz w:val="28"/>
          <w:szCs w:val="28"/>
          <w:lang w:val="bg-BG"/>
        </w:rPr>
        <w:t>ИЗТОЧНИЦИ НА ИНФОРМАЦИЯ И ИЗПЪЛНЕНИ ПРОЦЕДУРИ ПО СЪБИРАНЕТО Й</w:t>
      </w:r>
      <w:r w:rsidR="005E0784" w:rsidRPr="00640CAD" w:rsidDel="00960374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</w:t>
      </w:r>
    </w:p>
    <w:p w:rsidR="00F53D15" w:rsidRPr="00F53D15" w:rsidRDefault="00F53D15" w:rsidP="00F53D15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/</w:t>
      </w:r>
      <w:r w:rsidRPr="00F53D15">
        <w:rPr>
          <w:rFonts w:ascii="Times New Roman" w:hAnsi="Times New Roman" w:cs="Times New Roman"/>
          <w:b/>
          <w:bCs/>
          <w:smallCaps/>
          <w:spacing w:val="5"/>
          <w:kern w:val="28"/>
          <w:sz w:val="28"/>
          <w:szCs w:val="32"/>
          <w:lang w:val="bg-BG"/>
        </w:rPr>
        <w:t>Описание на извършената работа от екипа на Консултанта</w:t>
      </w:r>
      <w:r>
        <w:rPr>
          <w:rFonts w:ascii="Times New Roman" w:hAnsi="Times New Roman" w:cs="Times New Roman"/>
          <w:b/>
          <w:bCs/>
          <w:smallCaps/>
          <w:spacing w:val="5"/>
          <w:kern w:val="28"/>
          <w:sz w:val="32"/>
          <w:szCs w:val="32"/>
        </w:rPr>
        <w:t>/</w:t>
      </w:r>
    </w:p>
    <w:p w:rsidR="00F53D15" w:rsidRPr="00640CAD" w:rsidRDefault="00F53D15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spacing w:after="120"/>
        <w:jc w:val="center"/>
        <w:rPr>
          <w:rFonts w:ascii="Times New Roman" w:eastAsia="Calibri" w:hAnsi="Times New Roman" w:cs="Times New Roman"/>
          <w:i/>
          <w:lang w:val="bg-BG"/>
        </w:rPr>
      </w:pPr>
      <w:r w:rsidRPr="00640CAD">
        <w:rPr>
          <w:rFonts w:ascii="Times New Roman" w:eastAsia="Calibri" w:hAnsi="Times New Roman" w:cs="Times New Roman"/>
          <w:i/>
          <w:lang w:val="bg-BG"/>
        </w:rPr>
        <w:t>в изпълнение на Договор № МС-199/29.10.2014 г. с предмет „</w:t>
      </w:r>
      <w:r w:rsidRPr="00640CAD">
        <w:rPr>
          <w:rFonts w:ascii="Times New Roman" w:hAnsi="Times New Roman"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640CAD">
        <w:rPr>
          <w:rFonts w:ascii="Times New Roman" w:eastAsia="Calibri" w:hAnsi="Times New Roman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5E0784" w:rsidRPr="00640CAD" w:rsidRDefault="005E0784" w:rsidP="005E0784">
      <w:pPr>
        <w:spacing w:after="120"/>
        <w:rPr>
          <w:rFonts w:ascii="Times New Roman" w:eastAsia="Calibri" w:hAnsi="Times New Roman" w:cs="Times New Roman"/>
          <w:i/>
          <w:lang w:val="bg-BG"/>
        </w:rPr>
      </w:pPr>
    </w:p>
    <w:p w:rsidR="005E0784" w:rsidRPr="00640CAD" w:rsidRDefault="005E0784">
      <w:pPr>
        <w:rPr>
          <w:rFonts w:ascii="Times New Roman" w:hAnsi="Times New Roman" w:cs="Times New Roman"/>
          <w:b/>
          <w:lang w:val="bg-BG"/>
        </w:rPr>
      </w:pPr>
      <w:r w:rsidRPr="00640CAD">
        <w:rPr>
          <w:rFonts w:ascii="Times New Roman" w:hAnsi="Times New Roman" w:cs="Times New Roman"/>
          <w:b/>
          <w:lang w:val="bg-BG"/>
        </w:rPr>
        <w:br w:type="page"/>
      </w:r>
    </w:p>
    <w:p w:rsidR="00640CAD" w:rsidRPr="00640CAD" w:rsidRDefault="00F53D15" w:rsidP="00F53D15">
      <w:pPr>
        <w:pStyle w:val="Heading1"/>
        <w:keepNext/>
        <w:keepLines/>
        <w:numPr>
          <w:ilvl w:val="0"/>
          <w:numId w:val="1"/>
        </w:numPr>
        <w:pBdr>
          <w:top w:val="none" w:sz="0" w:space="0" w:color="auto"/>
        </w:pBdr>
        <w:spacing w:before="0" w:after="120" w:line="276" w:lineRule="auto"/>
        <w:jc w:val="both"/>
        <w:rPr>
          <w:smallCaps/>
          <w:sz w:val="32"/>
          <w:szCs w:val="32"/>
          <w:lang w:val="bg-BG"/>
        </w:rPr>
      </w:pPr>
      <w:r w:rsidRPr="00F53D15">
        <w:rPr>
          <w:smallCaps/>
          <w:sz w:val="32"/>
          <w:szCs w:val="32"/>
          <w:lang w:val="bg-BG"/>
        </w:rPr>
        <w:lastRenderedPageBreak/>
        <w:t>Описание на извършената работа от екипа на Консултанта</w:t>
      </w:r>
    </w:p>
    <w:p w:rsidR="00640CAD" w:rsidRPr="00640CAD" w:rsidRDefault="00640CAD" w:rsidP="00640CAD">
      <w:pPr>
        <w:pStyle w:val="ListParagraph"/>
        <w:spacing w:after="120"/>
        <w:ind w:left="851"/>
        <w:contextualSpacing w:val="0"/>
        <w:jc w:val="both"/>
        <w:rPr>
          <w:rFonts w:cs="Times New Roman"/>
          <w:sz w:val="24"/>
          <w:szCs w:val="24"/>
          <w:lang w:val="bg-BG"/>
        </w:rPr>
      </w:pPr>
    </w:p>
    <w:p w:rsidR="00B13157" w:rsidRDefault="00B13157" w:rsidP="00E07A15">
      <w:pPr>
        <w:pStyle w:val="Heading1"/>
        <w:keepNext/>
        <w:keepLines/>
        <w:numPr>
          <w:ilvl w:val="1"/>
          <w:numId w:val="1"/>
        </w:numPr>
        <w:pBdr>
          <w:top w:val="none" w:sz="0" w:space="0" w:color="auto"/>
        </w:pBdr>
        <w:spacing w:before="0" w:after="120" w:line="276" w:lineRule="auto"/>
        <w:ind w:left="1134" w:hanging="567"/>
        <w:jc w:val="both"/>
        <w:rPr>
          <w:smallCaps/>
          <w:sz w:val="28"/>
          <w:lang w:val="bg-BG"/>
        </w:rPr>
      </w:pPr>
      <w:bookmarkStart w:id="0" w:name="_GoBack"/>
      <w:bookmarkStart w:id="1" w:name="_Toc413675771"/>
      <w:bookmarkEnd w:id="0"/>
      <w:r>
        <w:rPr>
          <w:smallCaps/>
          <w:sz w:val="28"/>
          <w:lang w:val="bg-BG"/>
        </w:rPr>
        <w:t>Източници на информация</w:t>
      </w:r>
    </w:p>
    <w:p w:rsidR="00B13157" w:rsidRPr="006F582B" w:rsidRDefault="00B13157" w:rsidP="00B1315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Публични източници на информация</w:t>
      </w:r>
    </w:p>
    <w:p w:rsidR="00B13157" w:rsidRPr="006F582B" w:rsidRDefault="00B13157" w:rsidP="00B13157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Оперативни програми по програмен период 2007 – 2013 г.</w:t>
      </w:r>
    </w:p>
    <w:p w:rsidR="00B13157" w:rsidRPr="006F582B" w:rsidRDefault="00B13157" w:rsidP="00B13157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Действащото европейско и национално законодателство и правила за допустимост на разходите по оперативните програми за финансова рамка 2007-2013 г.</w:t>
      </w:r>
    </w:p>
    <w:p w:rsidR="00B13157" w:rsidRPr="006F582B" w:rsidRDefault="00B13157" w:rsidP="00B13157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Оперативни програми по програмен период 2014 – 2020 г.</w:t>
      </w:r>
    </w:p>
    <w:p w:rsidR="00B13157" w:rsidRPr="006F582B" w:rsidRDefault="00B13157" w:rsidP="00B13157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Действащо европейско и национално законодателство и правила за допустимост на разходите по оперативни програми за финансова рамка 2014-2020 г., включително </w:t>
      </w:r>
      <w:r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>Guidance on Simplified Cost Options (SCOs): Flat rate financing, Standard scales of unit costs, Lump sums</w:t>
      </w:r>
      <w:r w:rsidRPr="006F582B">
        <w:rPr>
          <w:rFonts w:ascii="Times New Roman" w:eastAsia="Calibri" w:hAnsi="Times New Roman" w:cs="Times New Roman"/>
          <w:sz w:val="24"/>
          <w:szCs w:val="24"/>
          <w:vertAlign w:val="superscript"/>
          <w:lang w:val="bg-BG"/>
        </w:rPr>
        <w:footnoteReference w:id="1"/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(във връзка с чл. 67 и 68 от Регламент (ЕС) №1303/2013, чл. 14(2)-(4) от Регламент (ЕС) №1304/2013 и чл. 19 от Регламент (ЕС) №1299/2013)</w:t>
      </w:r>
    </w:p>
    <w:p w:rsidR="00B13157" w:rsidRDefault="00B13157" w:rsidP="00B13157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Действащо национално законодателство на Р. България, релевантно за унифициране и стандартизиране на ценообразуването (стандартизиране на компонентите на разходите)</w:t>
      </w:r>
    </w:p>
    <w:p w:rsidR="00B13157" w:rsidRDefault="00B13157" w:rsidP="00B13157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83711">
        <w:rPr>
          <w:rFonts w:ascii="Times New Roman" w:eastAsia="Calibri" w:hAnsi="Times New Roman" w:cs="Times New Roman"/>
          <w:sz w:val="24"/>
          <w:szCs w:val="24"/>
          <w:lang w:val="bg-BG"/>
        </w:rPr>
        <w:t>Публични данни на НСИ и на Международна организация на труда (ILO) относно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средни годишни възнаграждения </w:t>
      </w:r>
      <w:r w:rsidRPr="00A83711">
        <w:rPr>
          <w:rFonts w:ascii="Times New Roman" w:eastAsia="Calibri" w:hAnsi="Times New Roman" w:cs="Times New Roman"/>
          <w:sz w:val="24"/>
          <w:szCs w:val="24"/>
          <w:lang w:val="bg-BG"/>
        </w:rPr>
        <w:t>на наети лица по икономически дейности и сектори за периода 2007-2013 г.</w:t>
      </w:r>
    </w:p>
    <w:p w:rsidR="00B13157" w:rsidRPr="002B43B2" w:rsidRDefault="00B13157" w:rsidP="002B43B2">
      <w:pPr>
        <w:tabs>
          <w:tab w:val="left" w:pos="851"/>
        </w:tabs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Други източници на информация</w:t>
      </w:r>
    </w:p>
    <w:p w:rsidR="00B13157" w:rsidRPr="006F582B" w:rsidRDefault="00B13157" w:rsidP="00B13157">
      <w:pPr>
        <w:numPr>
          <w:ilvl w:val="0"/>
          <w:numId w:val="35"/>
        </w:numPr>
        <w:spacing w:after="120" w:line="276" w:lineRule="auto"/>
        <w:ind w:left="851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Информация от ИСУН;</w:t>
      </w:r>
    </w:p>
    <w:p w:rsidR="00B13157" w:rsidRDefault="00B13157" w:rsidP="00B13157">
      <w:pPr>
        <w:numPr>
          <w:ilvl w:val="0"/>
          <w:numId w:val="36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Информация от управляващите органи на оперативните програми в попълнените от тях анкетни карти, специално разрабо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тени за целите на изследването;</w:t>
      </w:r>
    </w:p>
    <w:p w:rsidR="00B13157" w:rsidRPr="00B13157" w:rsidRDefault="00B13157" w:rsidP="00B13157">
      <w:pPr>
        <w:numPr>
          <w:ilvl w:val="0"/>
          <w:numId w:val="36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1315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Доклади и презентации касаещи опростени разходи от страни-членки, например: </w:t>
      </w:r>
      <w:r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Determination </w:t>
      </w:r>
      <w:r w:rsidR="0010053C"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>of</w:t>
      </w:r>
      <w:r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Flat Rate </w:t>
      </w:r>
      <w:r w:rsidR="0010053C"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>of</w:t>
      </w:r>
      <w:r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Indirect Costs for Activities Falling Under </w:t>
      </w:r>
      <w:smartTag w:uri="urn:schemas-microsoft-com:office:smarttags" w:element="stockticker">
        <w:r w:rsidRPr="0010053C">
          <w:rPr>
            <w:rFonts w:ascii="Times New Roman" w:eastAsia="Calibri" w:hAnsi="Times New Roman" w:cs="Times New Roman"/>
            <w:sz w:val="24"/>
            <w:szCs w:val="24"/>
            <w:lang w:val="en-GB"/>
          </w:rPr>
          <w:t>ESF</w:t>
        </w:r>
      </w:smartTag>
      <w:r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Hungary, July 2012; Simplified Cost Options </w:t>
      </w:r>
      <w:smartTag w:uri="urn:schemas-microsoft-com:office:smarttags" w:element="stockticker">
        <w:r w:rsidRPr="0010053C">
          <w:rPr>
            <w:rFonts w:ascii="Times New Roman" w:eastAsia="Calibri" w:hAnsi="Times New Roman" w:cs="Times New Roman"/>
            <w:sz w:val="24"/>
            <w:szCs w:val="24"/>
            <w:lang w:val="en-GB"/>
          </w:rPr>
          <w:t>ESF</w:t>
        </w:r>
      </w:smartTag>
      <w:r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Belgium-Flanders presentation, Glasgow 20143 Study Measuring Current and Future Requirements on Administrative Cost and Burden of Managing the </w:t>
      </w:r>
      <w:smartTag w:uri="urn:schemas-microsoft-com:office:smarttags" w:element="stockticker">
        <w:r w:rsidRPr="0010053C">
          <w:rPr>
            <w:rFonts w:ascii="Times New Roman" w:eastAsia="Calibri" w:hAnsi="Times New Roman" w:cs="Times New Roman"/>
            <w:sz w:val="24"/>
            <w:szCs w:val="24"/>
            <w:lang w:val="en-GB"/>
          </w:rPr>
          <w:t>ESF</w:t>
        </w:r>
      </w:smartTag>
      <w:r w:rsidRPr="0010053C">
        <w:rPr>
          <w:rFonts w:ascii="Times New Roman" w:eastAsia="Calibri" w:hAnsi="Times New Roman" w:cs="Times New Roman"/>
          <w:sz w:val="24"/>
          <w:szCs w:val="24"/>
          <w:lang w:val="en-GB"/>
        </w:rPr>
        <w:t>, EPEC, 2012</w:t>
      </w:r>
      <w:r w:rsidRPr="00B13157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B13157" w:rsidRDefault="00B13157" w:rsidP="00B13157">
      <w:pPr>
        <w:tabs>
          <w:tab w:val="left" w:pos="851"/>
        </w:tabs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По съответните дейности:</w:t>
      </w:r>
    </w:p>
    <w:tbl>
      <w:tblPr>
        <w:tblStyle w:val="TableGrid"/>
        <w:tblW w:w="0" w:type="auto"/>
        <w:tblLook w:val="04A0"/>
      </w:tblPr>
      <w:tblGrid>
        <w:gridCol w:w="3505"/>
        <w:gridCol w:w="5891"/>
      </w:tblGrid>
      <w:tr w:rsidR="00B13157" w:rsidTr="002B43B2">
        <w:tc>
          <w:tcPr>
            <w:tcW w:w="3505" w:type="dxa"/>
          </w:tcPr>
          <w:p w:rsidR="00B13157" w:rsidRPr="002B43B2" w:rsidRDefault="00B13157" w:rsidP="00B13157">
            <w:pPr>
              <w:tabs>
                <w:tab w:val="left" w:pos="851"/>
              </w:tabs>
              <w:spacing w:after="120" w:line="276" w:lineRule="auto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2B43B2">
              <w:rPr>
                <w:rFonts w:eastAsia="Calibri" w:cs="Times New Roman"/>
                <w:sz w:val="24"/>
                <w:szCs w:val="24"/>
                <w:lang w:val="bg-BG"/>
              </w:rPr>
              <w:t>Дейност 1: Обучения и семинари</w:t>
            </w:r>
          </w:p>
        </w:tc>
        <w:tc>
          <w:tcPr>
            <w:tcW w:w="5891" w:type="dxa"/>
          </w:tcPr>
          <w:p w:rsidR="002B43B2" w:rsidRDefault="002B43B2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>Одобрени бюджети по проекти за програмен период 2007 – 2013 г. от различни програми с различна големина – проекти от под 1,000 лв. до над 300 хил. лв.;</w:t>
            </w:r>
          </w:p>
          <w:p w:rsidR="002A30D5" w:rsidRPr="00855C8B" w:rsidRDefault="002A30D5" w:rsidP="002A30D5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>
              <w:rPr>
                <w:rFonts w:eastAsia="Calibri" w:cs="Times New Roman"/>
                <w:sz w:val="24"/>
                <w:szCs w:val="24"/>
                <w:lang w:val="bg-BG"/>
              </w:rPr>
              <w:t>ПМС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6691D">
              <w:rPr>
                <w:rFonts w:eastAsia="Calibri" w:cs="Times New Roman"/>
                <w:sz w:val="24"/>
                <w:szCs w:val="24"/>
                <w:lang w:val="bg-BG"/>
              </w:rPr>
              <w:t>251/2009 г.</w:t>
            </w:r>
            <w:r w:rsidRPr="0076691D">
              <w:rPr>
                <w:sz w:val="24"/>
                <w:lang w:val="bg-BG"/>
              </w:rPr>
              <w:t xml:space="preserve"> ПМС 251/2009 г. „За определяне на условията и реда за предоставяне на ваучери за обучение на безработни и заети лица по приоритетни оси 1 и 2 по Оперативна програма ” Развитие на човешките ресурси 2007-2013 г.”</w:t>
            </w:r>
          </w:p>
          <w:p w:rsidR="002A30D5" w:rsidRDefault="002A30D5" w:rsidP="002A30D5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>
              <w:rPr>
                <w:rFonts w:eastAsia="Calibri" w:cs="Times New Roman"/>
                <w:sz w:val="24"/>
                <w:szCs w:val="24"/>
                <w:lang w:val="bg-BG"/>
              </w:rPr>
              <w:t>Национален план за действие по заетостта за 2015 г.</w:t>
            </w:r>
          </w:p>
          <w:p w:rsidR="00B13157" w:rsidRPr="006F582B" w:rsidRDefault="00B13157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proofErr w:type="spellStart"/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>Офертни</w:t>
            </w:r>
            <w:proofErr w:type="spellEnd"/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 xml:space="preserve"> цени за наем зала и мултимедия и за </w:t>
            </w:r>
            <w:proofErr w:type="spellStart"/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>кетъринг</w:t>
            </w:r>
            <w:proofErr w:type="spellEnd"/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>, събрани чрез проучване на оферти, публикувани в интернет, от хотели и други организации в по-големите градове - използвани са и оферти от 36 хотела и 4 други организации в общо 9 града;</w:t>
            </w:r>
          </w:p>
          <w:p w:rsidR="00B13157" w:rsidRPr="006F582B" w:rsidRDefault="00B13157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proofErr w:type="spellStart"/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>Офертни</w:t>
            </w:r>
            <w:proofErr w:type="spellEnd"/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 xml:space="preserve"> цени за печатни материали, събрани чрез проучване на оферти на специализирани фирми, публикувани в интернет; използвани са и оферти от 10 фирми;</w:t>
            </w:r>
          </w:p>
          <w:p w:rsidR="00B13157" w:rsidRPr="00B13157" w:rsidRDefault="00B13157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 xml:space="preserve">118 оферти от 33 фирми за целите на определяне средна пазарна цена за обучение/семинар.  </w:t>
            </w:r>
          </w:p>
        </w:tc>
      </w:tr>
      <w:tr w:rsidR="00B13157" w:rsidTr="002B43B2">
        <w:tc>
          <w:tcPr>
            <w:tcW w:w="3505" w:type="dxa"/>
          </w:tcPr>
          <w:p w:rsidR="00B13157" w:rsidRPr="002B43B2" w:rsidRDefault="00B13157" w:rsidP="00B13157">
            <w:pPr>
              <w:tabs>
                <w:tab w:val="left" w:pos="851"/>
              </w:tabs>
              <w:spacing w:after="120" w:line="276" w:lineRule="auto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2B43B2">
              <w:rPr>
                <w:rFonts w:eastAsia="Calibri" w:cs="Times New Roman"/>
                <w:sz w:val="24"/>
                <w:szCs w:val="24"/>
                <w:lang w:val="bg-BG"/>
              </w:rPr>
              <w:t>Дейност 2: Организиране на (научни) конгреси и други подобни инициативи</w:t>
            </w:r>
          </w:p>
        </w:tc>
        <w:tc>
          <w:tcPr>
            <w:tcW w:w="5891" w:type="dxa"/>
          </w:tcPr>
          <w:p w:rsidR="002B43B2" w:rsidRDefault="002B43B2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>Одобрени бюджети по проекти за програмен период 2007 – 2013 г. от различни програми с различна големина – проекти от под 1,000 лв. до над 300 хил. лв.;</w:t>
            </w:r>
          </w:p>
          <w:p w:rsidR="00B13157" w:rsidRPr="00347716" w:rsidRDefault="00B13157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proofErr w:type="spellStart"/>
            <w:r w:rsidRPr="00347716">
              <w:rPr>
                <w:rFonts w:eastAsia="Calibri" w:cs="Times New Roman"/>
                <w:sz w:val="24"/>
                <w:szCs w:val="24"/>
                <w:lang w:val="bg-BG"/>
              </w:rPr>
              <w:t>Офертни</w:t>
            </w:r>
            <w:proofErr w:type="spellEnd"/>
            <w:r w:rsidRPr="00347716">
              <w:rPr>
                <w:rFonts w:eastAsia="Calibri" w:cs="Times New Roman"/>
                <w:sz w:val="24"/>
                <w:szCs w:val="24"/>
                <w:lang w:val="bg-BG"/>
              </w:rPr>
              <w:t xml:space="preserve"> цени за наем зала и мултимедия и за </w:t>
            </w:r>
            <w:proofErr w:type="spellStart"/>
            <w:r w:rsidRPr="00347716">
              <w:rPr>
                <w:rFonts w:eastAsia="Calibri" w:cs="Times New Roman"/>
                <w:sz w:val="24"/>
                <w:szCs w:val="24"/>
                <w:lang w:val="bg-BG"/>
              </w:rPr>
              <w:t>кетъринг</w:t>
            </w:r>
            <w:proofErr w:type="spellEnd"/>
            <w:r w:rsidRPr="00347716">
              <w:rPr>
                <w:rFonts w:eastAsia="Calibri" w:cs="Times New Roman"/>
                <w:sz w:val="24"/>
                <w:szCs w:val="24"/>
                <w:lang w:val="bg-BG"/>
              </w:rPr>
              <w:t>, събрани чрез проучване на оферти, публикувани в интернет, от хотели и други организации в по-големите градове - използвани са и оферти от 36 хотела и 4 други организации в общо 9 града;</w:t>
            </w:r>
          </w:p>
          <w:p w:rsidR="00B13157" w:rsidRDefault="00B13157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proofErr w:type="spellStart"/>
            <w:r w:rsidRPr="00347716">
              <w:rPr>
                <w:rFonts w:eastAsia="Calibri" w:cs="Times New Roman"/>
                <w:sz w:val="24"/>
                <w:szCs w:val="24"/>
                <w:lang w:val="bg-BG"/>
              </w:rPr>
              <w:t>Офертни</w:t>
            </w:r>
            <w:proofErr w:type="spellEnd"/>
            <w:r w:rsidRPr="00347716">
              <w:rPr>
                <w:rFonts w:eastAsia="Calibri" w:cs="Times New Roman"/>
                <w:sz w:val="24"/>
                <w:szCs w:val="24"/>
                <w:lang w:val="bg-BG"/>
              </w:rPr>
              <w:t xml:space="preserve"> цени за печатни материали, събрани чрез проучване на оферти на специализирани фирми, публикувани в интернет; използвани са и оферти от 10 фирми;</w:t>
            </w:r>
          </w:p>
          <w:p w:rsidR="00B13157" w:rsidRPr="00B13157" w:rsidRDefault="00B13157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B13157">
              <w:rPr>
                <w:rFonts w:eastAsia="Calibri" w:cs="Times New Roman"/>
                <w:sz w:val="24"/>
                <w:szCs w:val="24"/>
                <w:lang w:val="bg-BG"/>
              </w:rPr>
              <w:t>114 оферти от 98 фирми за целите на определяне средна пазарна цена за обучение/семинар.</w:t>
            </w:r>
          </w:p>
        </w:tc>
      </w:tr>
      <w:tr w:rsidR="00B13157" w:rsidTr="002B43B2">
        <w:tc>
          <w:tcPr>
            <w:tcW w:w="3505" w:type="dxa"/>
          </w:tcPr>
          <w:p w:rsidR="00B13157" w:rsidRPr="002B43B2" w:rsidRDefault="00B13157" w:rsidP="00B13157">
            <w:pPr>
              <w:tabs>
                <w:tab w:val="left" w:pos="851"/>
              </w:tabs>
              <w:spacing w:after="120" w:line="276" w:lineRule="auto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2B43B2">
              <w:rPr>
                <w:rFonts w:eastAsia="Calibri" w:cs="Times New Roman"/>
                <w:sz w:val="24"/>
                <w:szCs w:val="24"/>
                <w:lang w:val="bg-BG"/>
              </w:rPr>
              <w:t>Дейност 3: Организиране на информационни кампании/събития</w:t>
            </w:r>
          </w:p>
        </w:tc>
        <w:tc>
          <w:tcPr>
            <w:tcW w:w="5891" w:type="dxa"/>
          </w:tcPr>
          <w:p w:rsidR="002B43B2" w:rsidRDefault="002B43B2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>Одобрени бюджети по проекти за програмен период 2007 – 2013 г. от различни програми с различна големина – проекти от под 1,000 лв. до над 300 хил. лв.;</w:t>
            </w:r>
          </w:p>
          <w:p w:rsidR="00B13157" w:rsidRDefault="00B13157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proofErr w:type="spellStart"/>
            <w:r w:rsidRPr="00C27CEB">
              <w:rPr>
                <w:rFonts w:eastAsia="Calibri" w:cs="Times New Roman"/>
                <w:sz w:val="24"/>
                <w:szCs w:val="24"/>
                <w:lang w:val="bg-BG"/>
              </w:rPr>
              <w:t>Офертни</w:t>
            </w:r>
            <w:proofErr w:type="spellEnd"/>
            <w:r w:rsidRPr="00C27CEB">
              <w:rPr>
                <w:rFonts w:eastAsia="Calibri" w:cs="Times New Roman"/>
                <w:sz w:val="24"/>
                <w:szCs w:val="24"/>
                <w:lang w:val="bg-BG"/>
              </w:rPr>
              <w:t xml:space="preserve"> цени за наем зала и мултимедия и за </w:t>
            </w:r>
            <w:proofErr w:type="spellStart"/>
            <w:r w:rsidRPr="00C27CEB">
              <w:rPr>
                <w:rFonts w:eastAsia="Calibri" w:cs="Times New Roman"/>
                <w:sz w:val="24"/>
                <w:szCs w:val="24"/>
                <w:lang w:val="bg-BG"/>
              </w:rPr>
              <w:t>кетъринг</w:t>
            </w:r>
            <w:proofErr w:type="spellEnd"/>
            <w:r w:rsidRPr="00C27CEB">
              <w:rPr>
                <w:rFonts w:eastAsia="Calibri" w:cs="Times New Roman"/>
                <w:sz w:val="24"/>
                <w:szCs w:val="24"/>
                <w:lang w:val="bg-BG"/>
              </w:rPr>
              <w:t>, събрани чрез проучване на оферти, публикувани в интернет, от хотели и други организации в по-големите градове - използвани са и оферти от 36 хотела и 4 други организации в общо 9 града;</w:t>
            </w:r>
          </w:p>
          <w:p w:rsidR="00B13157" w:rsidRPr="00B13157" w:rsidRDefault="00B13157" w:rsidP="002B43B2">
            <w:pPr>
              <w:numPr>
                <w:ilvl w:val="0"/>
                <w:numId w:val="36"/>
              </w:numPr>
              <w:tabs>
                <w:tab w:val="left" w:pos="342"/>
              </w:tabs>
              <w:spacing w:after="120" w:line="276" w:lineRule="auto"/>
              <w:ind w:left="342" w:hanging="284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proofErr w:type="spellStart"/>
            <w:r w:rsidRPr="00B13157">
              <w:rPr>
                <w:rFonts w:eastAsia="Calibri" w:cs="Times New Roman"/>
                <w:sz w:val="24"/>
                <w:szCs w:val="24"/>
                <w:lang w:val="bg-BG"/>
              </w:rPr>
              <w:t>Офертни</w:t>
            </w:r>
            <w:proofErr w:type="spellEnd"/>
            <w:r w:rsidRPr="00B13157">
              <w:rPr>
                <w:rFonts w:eastAsia="Calibri" w:cs="Times New Roman"/>
                <w:sz w:val="24"/>
                <w:szCs w:val="24"/>
                <w:lang w:val="bg-BG"/>
              </w:rPr>
              <w:t xml:space="preserve"> цени за печатни материали, събрани чрез проучване на оферти на специализирани фирми, публикувани в интернет; използвани са и оферти от 10 фирми;</w:t>
            </w:r>
          </w:p>
        </w:tc>
      </w:tr>
      <w:tr w:rsidR="00B13157" w:rsidTr="002B43B2">
        <w:tc>
          <w:tcPr>
            <w:tcW w:w="3505" w:type="dxa"/>
          </w:tcPr>
          <w:p w:rsidR="00B13157" w:rsidRPr="002B43B2" w:rsidRDefault="00B13157" w:rsidP="00B13157">
            <w:pPr>
              <w:tabs>
                <w:tab w:val="left" w:pos="851"/>
              </w:tabs>
              <w:spacing w:after="120" w:line="276" w:lineRule="auto"/>
              <w:jc w:val="both"/>
              <w:rPr>
                <w:rFonts w:eastAsia="Calibri" w:cs="Times New Roman"/>
                <w:bCs/>
                <w:sz w:val="24"/>
                <w:szCs w:val="24"/>
                <w:lang w:val="bg-BG"/>
              </w:rPr>
            </w:pP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4: Подготовка за провеждане на обществени поръчки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5: Иновации, научна и развойна дейност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6: Комуникации и ИT услуги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7: Прегледи на регулаторни режими, нормативна уредба и добри практики</w:t>
            </w:r>
            <w:r w:rsidR="002B43B2"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; Дейност 8: Социални и здравни услуги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9: Услуги по професионално и кариерно консултиране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10: Събиране на данни, проучване, анализ и изследване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11: Разработване на процедури и ръководства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12: Подобряване на процесите по административните услуги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13: Внедряване на системи за управление на качеството</w:t>
            </w:r>
            <w:r w:rsid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 xml:space="preserve">; </w:t>
            </w: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14: Стандартизиране на административните услуги</w:t>
            </w:r>
          </w:p>
        </w:tc>
        <w:tc>
          <w:tcPr>
            <w:tcW w:w="5891" w:type="dxa"/>
          </w:tcPr>
          <w:p w:rsidR="002B43B2" w:rsidRDefault="002B43B2" w:rsidP="002B43B2">
            <w:pPr>
              <w:pStyle w:val="ListParagraph"/>
              <w:numPr>
                <w:ilvl w:val="0"/>
                <w:numId w:val="36"/>
              </w:numPr>
              <w:tabs>
                <w:tab w:val="left" w:pos="342"/>
              </w:tabs>
              <w:spacing w:after="120"/>
              <w:ind w:left="342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6F582B">
              <w:rPr>
                <w:rFonts w:eastAsia="Calibri" w:cs="Times New Roman"/>
                <w:sz w:val="24"/>
                <w:szCs w:val="24"/>
                <w:lang w:val="bg-BG"/>
              </w:rPr>
              <w:t>Одобрени бюджети по проекти за програмен период 2007 – 2013 г. от различни програми с различна големина – проекти от под 1,000 лв. до над 300 хил. лв.;</w:t>
            </w:r>
          </w:p>
          <w:p w:rsidR="00B13157" w:rsidRPr="00B13157" w:rsidRDefault="00B13157" w:rsidP="002B43B2">
            <w:pPr>
              <w:pStyle w:val="ListParagraph"/>
              <w:numPr>
                <w:ilvl w:val="0"/>
                <w:numId w:val="36"/>
              </w:numPr>
              <w:tabs>
                <w:tab w:val="left" w:pos="342"/>
              </w:tabs>
              <w:spacing w:after="120"/>
              <w:ind w:left="342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B13157">
              <w:rPr>
                <w:rFonts w:eastAsia="Calibri" w:cs="Times New Roman"/>
                <w:sz w:val="24"/>
                <w:szCs w:val="24"/>
                <w:lang w:val="bg-BG"/>
              </w:rPr>
              <w:t>Наблюдавана пазарна информация за равнищата на годишни възнаграждения на различни типове експерти и професии, събирана и обработвана от специализирана фирма за пазарни проучвания на човешки ресурси.</w:t>
            </w:r>
          </w:p>
        </w:tc>
      </w:tr>
      <w:tr w:rsidR="00B13157" w:rsidTr="002B43B2">
        <w:tc>
          <w:tcPr>
            <w:tcW w:w="3505" w:type="dxa"/>
          </w:tcPr>
          <w:p w:rsidR="00B13157" w:rsidRPr="002B43B2" w:rsidRDefault="002B43B2" w:rsidP="00B13157">
            <w:pPr>
              <w:tabs>
                <w:tab w:val="left" w:pos="851"/>
              </w:tabs>
              <w:spacing w:after="120" w:line="276" w:lineRule="auto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bookmarkStart w:id="2" w:name="_Toc414642716"/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 15: Субсидирана заетост</w:t>
            </w:r>
            <w:bookmarkEnd w:id="2"/>
          </w:p>
        </w:tc>
        <w:tc>
          <w:tcPr>
            <w:tcW w:w="5891" w:type="dxa"/>
          </w:tcPr>
          <w:p w:rsidR="002B43B2" w:rsidRDefault="00B13157" w:rsidP="002B43B2">
            <w:pPr>
              <w:numPr>
                <w:ilvl w:val="0"/>
                <w:numId w:val="8"/>
              </w:numPr>
              <w:tabs>
                <w:tab w:val="left" w:pos="342"/>
              </w:tabs>
              <w:spacing w:after="120" w:line="276" w:lineRule="auto"/>
              <w:ind w:left="342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B13157">
              <w:rPr>
                <w:rFonts w:eastAsia="Calibri" w:cs="Times New Roman"/>
                <w:sz w:val="24"/>
                <w:szCs w:val="24"/>
                <w:lang w:val="bg-BG"/>
              </w:rPr>
              <w:t>Кодекс на труда, Кодекс за социално осигуряване, Национална класификация  на професиите и длъжностите (2007-2014 г.).</w:t>
            </w:r>
          </w:p>
          <w:p w:rsidR="00B13157" w:rsidRPr="002B43B2" w:rsidRDefault="002B43B2" w:rsidP="002B43B2">
            <w:pPr>
              <w:numPr>
                <w:ilvl w:val="0"/>
                <w:numId w:val="8"/>
              </w:numPr>
              <w:tabs>
                <w:tab w:val="left" w:pos="342"/>
              </w:tabs>
              <w:spacing w:after="120" w:line="276" w:lineRule="auto"/>
              <w:ind w:left="342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2B43B2">
              <w:rPr>
                <w:rFonts w:eastAsia="Calibri" w:cs="Times New Roman"/>
                <w:sz w:val="24"/>
                <w:szCs w:val="24"/>
                <w:lang w:val="bg-BG"/>
              </w:rPr>
              <w:t>Одобрени бюджети по проекти за програмен период 2007 – 2013 г. от ОПРЧР с различна големина – проекти от  20,000 – 80,000 хил. лв.;</w:t>
            </w:r>
          </w:p>
        </w:tc>
      </w:tr>
      <w:tr w:rsidR="00B13157" w:rsidTr="002B43B2">
        <w:tc>
          <w:tcPr>
            <w:tcW w:w="3505" w:type="dxa"/>
          </w:tcPr>
          <w:p w:rsidR="00B13157" w:rsidRPr="002B43B2" w:rsidRDefault="002B43B2" w:rsidP="00B13157">
            <w:pPr>
              <w:tabs>
                <w:tab w:val="left" w:pos="851"/>
              </w:tabs>
              <w:spacing w:after="120" w:line="276" w:lineRule="auto"/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2B43B2">
              <w:rPr>
                <w:rFonts w:eastAsia="Calibri" w:cs="Times New Roman"/>
                <w:bCs/>
                <w:sz w:val="24"/>
                <w:szCs w:val="24"/>
                <w:lang w:val="bg-BG"/>
              </w:rPr>
              <w:t>Дейности по организация и управление на проекти</w:t>
            </w:r>
          </w:p>
        </w:tc>
        <w:tc>
          <w:tcPr>
            <w:tcW w:w="5891" w:type="dxa"/>
          </w:tcPr>
          <w:p w:rsidR="002B43B2" w:rsidRPr="002B43B2" w:rsidRDefault="002B43B2" w:rsidP="002B43B2">
            <w:pPr>
              <w:pStyle w:val="ListParagraph"/>
              <w:numPr>
                <w:ilvl w:val="0"/>
                <w:numId w:val="36"/>
              </w:numPr>
              <w:tabs>
                <w:tab w:val="left" w:pos="342"/>
              </w:tabs>
              <w:spacing w:after="120"/>
              <w:ind w:left="342"/>
              <w:jc w:val="both"/>
              <w:rPr>
                <w:rFonts w:eastAsia="Calibri" w:cs="Times New Roman"/>
                <w:sz w:val="24"/>
                <w:szCs w:val="24"/>
              </w:rPr>
            </w:pPr>
            <w:r w:rsidRPr="002B43B2">
              <w:rPr>
                <w:rFonts w:eastAsia="Calibri" w:cs="Times New Roman"/>
                <w:sz w:val="24"/>
                <w:szCs w:val="24"/>
                <w:lang w:val="bg-BG"/>
              </w:rPr>
              <w:t>Одобрени бюджети по проекти за програмен период 2007 – 2013 г. от различни програми с различна големина – проекти от под 1,000 лв. до над 300 хил. лв.;</w:t>
            </w:r>
          </w:p>
          <w:p w:rsidR="00B13157" w:rsidRPr="002B43B2" w:rsidRDefault="002B43B2" w:rsidP="002B43B2">
            <w:pPr>
              <w:pStyle w:val="ListParagraph"/>
              <w:numPr>
                <w:ilvl w:val="0"/>
                <w:numId w:val="36"/>
              </w:numPr>
              <w:tabs>
                <w:tab w:val="left" w:pos="342"/>
              </w:tabs>
              <w:spacing w:after="120"/>
              <w:ind w:left="342"/>
              <w:jc w:val="both"/>
              <w:rPr>
                <w:rFonts w:eastAsia="Calibri" w:cs="Times New Roman"/>
                <w:sz w:val="24"/>
                <w:szCs w:val="24"/>
              </w:rPr>
            </w:pPr>
            <w:r w:rsidRPr="002B43B2">
              <w:rPr>
                <w:rFonts w:eastAsia="Calibri" w:cs="Times New Roman"/>
                <w:sz w:val="24"/>
                <w:szCs w:val="24"/>
                <w:lang w:val="bg-BG"/>
              </w:rPr>
              <w:t>Наблюдавана пазарна информация за равнищата на годишни възнаграждения на различни типове експерти и професии, събирана и обработвана от специализирана фирма за пазарни проучвания на човешки ресурси.</w:t>
            </w:r>
          </w:p>
        </w:tc>
      </w:tr>
    </w:tbl>
    <w:p w:rsidR="00B13157" w:rsidRDefault="00B13157" w:rsidP="00B13157">
      <w:pPr>
        <w:tabs>
          <w:tab w:val="left" w:pos="851"/>
        </w:tabs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094852" w:rsidRPr="00863F88" w:rsidRDefault="00094852" w:rsidP="00094852">
      <w:pPr>
        <w:pStyle w:val="Heading1"/>
        <w:keepNext/>
        <w:keepLines/>
        <w:numPr>
          <w:ilvl w:val="1"/>
          <w:numId w:val="1"/>
        </w:numPr>
        <w:pBdr>
          <w:top w:val="none" w:sz="0" w:space="0" w:color="auto"/>
        </w:pBdr>
        <w:spacing w:before="0" w:after="120" w:line="276" w:lineRule="auto"/>
        <w:ind w:left="1170" w:hanging="630"/>
        <w:jc w:val="both"/>
        <w:rPr>
          <w:smallCaps/>
          <w:sz w:val="28"/>
          <w:lang w:val="bg-BG"/>
        </w:rPr>
      </w:pPr>
      <w:r w:rsidRPr="00094852">
        <w:rPr>
          <w:smallCaps/>
          <w:sz w:val="28"/>
          <w:lang w:val="bg-BG"/>
        </w:rPr>
        <w:t>Обработка на предоставената информация</w:t>
      </w:r>
    </w:p>
    <w:p w:rsidR="00863F88" w:rsidRDefault="00863F88" w:rsidP="00863F88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Описаната по-горе информация е изследвана, обработена и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сводирана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във вид, годен за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последващ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статистически анализ. След обобщаването на информацията по основни дейности, от нея са изключени разходи за дейности и/или експерти, за които липсва необходимата информация.</w:t>
      </w:r>
    </w:p>
    <w:p w:rsidR="0026396B" w:rsidRPr="006F582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Представяне на разходите в бюджетите</w:t>
      </w:r>
    </w:p>
    <w:p w:rsidR="0026396B" w:rsidRPr="006F582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Първоначално получените бюджети представляват таблици, изготвени в различен формат. Всеки бюджет обхваща различни видове разходи по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дейности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техните елементи в рамките на един и същ проект. Така например, в определени бюджети се включват разходи за възнаграждения, осигуровки, командировки, материали и консумативи, външни услуги, управление и др. Част от тези категории са разделени на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подкатегории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например, разходите за външни услуги включват разходи за публичност, разходи за обучения и семинари, разходи за одит и т.н. Разходите във всяка категория или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подкатегория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се състоят от един или повече елементи, като например възнаграждението по даден договор, стойността на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ползвани материали, квартирните пари за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командировка и т.н.</w:t>
      </w:r>
    </w:p>
    <w:p w:rsidR="0026396B" w:rsidRPr="006F582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Отнасяне на разходите от бюджетите по изследваните дейности</w:t>
      </w:r>
    </w:p>
    <w:p w:rsidR="0026396B" w:rsidRPr="006F582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да се подготвят данните за статистически анализ, всеки бюджет е специално анализиран и обработен на най-детайлното ниво, </w:t>
      </w:r>
      <w:r w:rsidRPr="006F582B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т.е. на ниво </w:t>
      </w:r>
      <w:proofErr w:type="spellStart"/>
      <w:r w:rsidRPr="006F582B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поддейност</w:t>
      </w:r>
      <w:proofErr w:type="spellEnd"/>
      <w:r w:rsidRPr="006F582B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и разходен елемент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. Всеки разходен елемент (ред от бюджет) се състои от описание, количество, единична цена и обща стойност.</w:t>
      </w:r>
    </w:p>
    <w:p w:rsidR="0026396B" w:rsidRPr="006F582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Първата стъпка при обработката на бюджетите е отнасянето на всеки разходен елемент към някоя от 15-те типични дейности, изведени в анализа по </w:t>
      </w:r>
      <w:r w:rsidRPr="006F582B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Дейност 1 „Анализ на приложението на стандартни таблици за разходи за единица от бенефициентите по проекти, реализирани със средства от ЕСИФ”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договора. Решението към коя дейност да бъде отнесен даден елемент е направено въз основа на категоризацията и описанието на този елемент в и съгласно бюджета. В някои случаи самата категоризация на разходите, използвана в представените бюджети, е достатъчна, за да се 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определят техните </w:t>
      </w:r>
      <w:r w:rsidR="0010053C">
        <w:rPr>
          <w:rFonts w:ascii="Times New Roman" w:eastAsia="Calibri" w:hAnsi="Times New Roman" w:cs="Times New Roman"/>
          <w:sz w:val="24"/>
          <w:szCs w:val="24"/>
          <w:lang w:val="bg-BG"/>
        </w:rPr>
        <w:t>характеристики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>съотнесат</w:t>
      </w:r>
      <w:proofErr w:type="spellEnd"/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към съответната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дейност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В останалите случаи, дейността се определ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>я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 основа на описанието, 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>включено</w:t>
      </w:r>
      <w:r w:rsidR="002A14D0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в бюджета за съответния разходен елемент. Доколкото не всички описания на разходните елементи съдържат достатъчно информация, са направени</w:t>
      </w:r>
      <w:r w:rsidR="002A14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допускания, за целите на класификацията. </w:t>
      </w:r>
    </w:p>
    <w:p w:rsidR="0026396B" w:rsidRPr="006F582B" w:rsidRDefault="0026396B" w:rsidP="00431B1B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Втората стъпка е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последваща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обработка и сортиране в различни разрези на всички събития</w:t>
      </w:r>
      <w:r w:rsidR="00431B1B">
        <w:rPr>
          <w:rFonts w:ascii="Times New Roman" w:eastAsia="Calibri" w:hAnsi="Times New Roman" w:cs="Times New Roman"/>
          <w:sz w:val="24"/>
          <w:szCs w:val="24"/>
          <w:lang w:val="bg-BG"/>
        </w:rPr>
        <w:t>/експерти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, които попадат в дадена дейност, за целите на</w:t>
      </w:r>
      <w:r w:rsidR="00372F3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статистическа</w:t>
      </w:r>
      <w:r w:rsidR="00372F3A">
        <w:rPr>
          <w:rFonts w:ascii="Times New Roman" w:eastAsia="Calibri" w:hAnsi="Times New Roman" w:cs="Times New Roman"/>
          <w:sz w:val="24"/>
          <w:szCs w:val="24"/>
          <w:lang w:val="bg-BG"/>
        </w:rPr>
        <w:t>та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обработка и изчисления </w:t>
      </w:r>
      <w:r w:rsidRPr="00117077">
        <w:rPr>
          <w:rFonts w:ascii="Times New Roman" w:eastAsia="Calibri" w:hAnsi="Times New Roman" w:cs="Times New Roman"/>
          <w:sz w:val="24"/>
          <w:szCs w:val="24"/>
          <w:lang w:val="bg-BG"/>
        </w:rPr>
        <w:t>(</w:t>
      </w:r>
      <w:r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Приложение № </w:t>
      </w:r>
      <w:r w:rsidR="00700663" w:rsidRPr="00117077">
        <w:rPr>
          <w:rFonts w:ascii="Times New Roman" w:eastAsia="Calibri" w:hAnsi="Times New Roman" w:cs="Times New Roman"/>
          <w:sz w:val="24"/>
          <w:szCs w:val="24"/>
        </w:rPr>
        <w:t>5</w:t>
      </w:r>
      <w:r w:rsidRPr="00117077">
        <w:rPr>
          <w:rFonts w:ascii="Times New Roman" w:eastAsia="Calibri" w:hAnsi="Times New Roman" w:cs="Times New Roman"/>
          <w:sz w:val="24"/>
          <w:szCs w:val="24"/>
          <w:lang w:val="bg-BG"/>
        </w:rPr>
        <w:t>).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</w:t>
      </w:r>
    </w:p>
    <w:p w:rsidR="0026396B" w:rsidRDefault="0026396B" w:rsidP="00431B1B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0A4BDB" w:rsidRPr="00700663" w:rsidRDefault="000A4BDB" w:rsidP="000A4BDB">
      <w:pPr>
        <w:pStyle w:val="ListParagraph"/>
        <w:numPr>
          <w:ilvl w:val="2"/>
          <w:numId w:val="1"/>
        </w:numPr>
        <w:jc w:val="both"/>
        <w:rPr>
          <w:rFonts w:eastAsia="Times New Roman" w:cs="Times New Roman"/>
          <w:b/>
          <w:bCs/>
          <w:smallCaps/>
          <w:kern w:val="36"/>
          <w:sz w:val="28"/>
          <w:szCs w:val="35"/>
          <w:lang w:val="bg-BG"/>
        </w:rPr>
      </w:pPr>
      <w:r w:rsidRPr="00700663">
        <w:rPr>
          <w:rFonts w:eastAsia="Times New Roman" w:cs="Times New Roman"/>
          <w:b/>
          <w:bCs/>
          <w:smallCaps/>
          <w:kern w:val="36"/>
          <w:sz w:val="28"/>
          <w:szCs w:val="35"/>
          <w:lang w:val="bg-BG"/>
        </w:rPr>
        <w:t xml:space="preserve">Извеждане на ставка за единица продукт </w:t>
      </w:r>
    </w:p>
    <w:p w:rsidR="00863F88" w:rsidRPr="006F582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Отнасяне на разходите към единица краен продукт</w:t>
      </w:r>
    </w:p>
    <w:p w:rsidR="000A4BD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„Единица краен продукт“, като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калкулационна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единица за Дейност1</w:t>
      </w:r>
      <w:r w:rsidR="000A4BDB">
        <w:rPr>
          <w:rFonts w:ascii="Times New Roman" w:eastAsia="Calibri" w:hAnsi="Times New Roman" w:cs="Times New Roman"/>
          <w:sz w:val="24"/>
          <w:szCs w:val="24"/>
          <w:lang w:val="bg-BG"/>
        </w:rPr>
        <w:t>, Дейност 2 и Дейност 3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е дефинирана като стойност на „участник на ден”. </w:t>
      </w:r>
    </w:p>
    <w:p w:rsidR="00863F88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Съгласно попълнените анкетни карти</w:t>
      </w:r>
      <w:r w:rsidR="00372F3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Дейност 1, предпочитаната </w:t>
      </w:r>
      <w:r w:rsidR="00372F3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заинтересованите лица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мярка за остойностяване</w:t>
      </w:r>
      <w:r w:rsidR="00372F3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е</w:t>
      </w:r>
      <w:r w:rsidR="00372F3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bg-BG"/>
        </w:rPr>
        <w:t>„стойност за 1 обучаем на ден</w:t>
      </w:r>
      <w:r w:rsidR="00372F3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bg-BG"/>
        </w:rPr>
        <w:t>,</w:t>
      </w:r>
      <w:r w:rsidRPr="006F582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bg-BG"/>
        </w:rPr>
        <w:t xml:space="preserve"> в зависимост от типа обучение“.</w:t>
      </w:r>
      <w:r w:rsidRPr="006F582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Обученията са три типа - професионални обучения, обучения по ключови компетентности и обучения с общ характер. Последните </w:t>
      </w:r>
      <w:r w:rsidR="00372F3A" w:rsidRPr="006F582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дв</w:t>
      </w:r>
      <w:r w:rsidR="00372F3A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а типа </w:t>
      </w:r>
      <w:r w:rsidRPr="006F582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са обединени за целите на настоящото изследване, поради две основни причини: а)</w:t>
      </w:r>
      <w:r w:rsidR="005542B4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липса на ясно разграничаващи индикатори в първичните бюджети, чрез които да се направи отнасяне на всяко събитие към съответн</w:t>
      </w:r>
      <w:r w:rsidR="00372F3A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ия тип</w:t>
      </w:r>
      <w:r w:rsidRPr="006F582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 и б) предварителното проучване не показва съществено влияние на разграничаването на тези дв</w:t>
      </w:r>
      <w:r w:rsidR="00372F3A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а типа </w:t>
      </w:r>
      <w:r w:rsidRPr="006F582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върху историческите стойностн</w:t>
      </w:r>
      <w:r w:rsidR="000A4BD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и параметри на разходите.</w:t>
      </w:r>
    </w:p>
    <w:p w:rsidR="000A4BDB" w:rsidRPr="006F582B" w:rsidRDefault="000A4BDB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З</w:t>
      </w:r>
      <w:r w:rsidRPr="00347716">
        <w:rPr>
          <w:rFonts w:ascii="Times New Roman" w:eastAsia="Calibri" w:hAnsi="Times New Roman" w:cs="Times New Roman"/>
          <w:sz w:val="24"/>
          <w:szCs w:val="24"/>
          <w:lang w:val="bg-BG"/>
        </w:rPr>
        <w:t>а Дейност 2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Дейност 3</w:t>
      </w:r>
      <w:r w:rsidRPr="00347716">
        <w:rPr>
          <w:rFonts w:ascii="Times New Roman" w:eastAsia="Calibri" w:hAnsi="Times New Roman" w:cs="Times New Roman"/>
          <w:sz w:val="24"/>
          <w:szCs w:val="24"/>
          <w:lang w:val="bg-BG"/>
        </w:rPr>
        <w:t>, съгласно попълнените анкетни карти, предпочитаната мярка за остойностяване от заинтересованите лица е: о</w:t>
      </w:r>
      <w:r w:rsidRPr="00347716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рганизиране на събитие – „</w:t>
      </w:r>
      <w:r w:rsidRPr="00347716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bg-BG"/>
        </w:rPr>
        <w:t>стойност за 1 участник на ден”.</w:t>
      </w:r>
    </w:p>
    <w:p w:rsidR="00863F88" w:rsidRPr="006F582B" w:rsidRDefault="00372F3A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С</w:t>
      </w:r>
      <w:r w:rsidR="00863F88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ъбраната първична информация по бюджетите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се характеризира с това, че липсват данни за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броя на участниците и продължителността на съответното събитие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6238D2">
        <w:rPr>
          <w:rFonts w:ascii="Times New Roman" w:eastAsia="Calibri" w:hAnsi="Times New Roman" w:cs="Times New Roman"/>
          <w:sz w:val="24"/>
          <w:szCs w:val="24"/>
          <w:lang w:val="bg-BG"/>
        </w:rPr>
        <w:t>които в определени случаи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не са включени в информацията за разходните елементи съгласно бюджетите. </w:t>
      </w:r>
      <w:r w:rsidR="006238D2">
        <w:rPr>
          <w:rFonts w:ascii="Times New Roman" w:eastAsia="Calibri" w:hAnsi="Times New Roman" w:cs="Times New Roman"/>
          <w:sz w:val="24"/>
          <w:szCs w:val="24"/>
          <w:lang w:val="bg-BG"/>
        </w:rPr>
        <w:t>Р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азходите са представени общо за цялото съ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битие/обучение/семинар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. В други случаи има данни за броя на участниците, но не и за продължителността на събитието</w:t>
      </w:r>
      <w:r w:rsidR="006238D2">
        <w:rPr>
          <w:rFonts w:ascii="Times New Roman" w:eastAsia="Calibri" w:hAnsi="Times New Roman" w:cs="Times New Roman"/>
          <w:sz w:val="24"/>
          <w:szCs w:val="24"/>
          <w:lang w:val="bg-BG"/>
        </w:rPr>
        <w:t>. З</w:t>
      </w:r>
      <w:r w:rsidR="00863F88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 целите на изчисляването на унифицирани ставки за единица продукт (стандартизирано ценообразуване) е необходимо наличието и на </w:t>
      </w:r>
      <w:r w:rsidR="0010053C">
        <w:rPr>
          <w:rFonts w:ascii="Times New Roman" w:eastAsia="Calibri" w:hAnsi="Times New Roman" w:cs="Times New Roman"/>
          <w:sz w:val="24"/>
          <w:szCs w:val="24"/>
          <w:lang w:val="bg-BG"/>
        </w:rPr>
        <w:t>структурирани</w:t>
      </w:r>
      <w:r w:rsidR="006238D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този начин данни.</w:t>
      </w:r>
    </w:p>
    <w:p w:rsidR="00863F88" w:rsidRPr="006F582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В резултат на гореописан</w:t>
      </w:r>
      <w:r w:rsidR="006238D2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ата специфика </w:t>
      </w:r>
      <w:r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по отношение нефинансовите данни (брой участници, продължителност на събитието)</w:t>
      </w:r>
      <w:r w:rsidR="006238D2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ab/>
      </w:r>
      <w:r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 за </w:t>
      </w:r>
      <w:r w:rsidR="006238D2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определяне на </w:t>
      </w:r>
      <w:r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разходните елементи по </w:t>
      </w:r>
      <w:r w:rsidR="00EF70F5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тези три дейности</w:t>
      </w:r>
      <w:r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 се наложи </w:t>
      </w:r>
      <w:r w:rsidR="006238D2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от статистическия анализ </w:t>
      </w:r>
      <w:r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да се изключат голям брой наблюдения</w:t>
      </w:r>
      <w:r w:rsidR="006238D2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(събрани изходни бюджети от УО), тъй като те не съдържат цялата необходима за целите на опростеното ценообразуване информация.</w:t>
      </w:r>
    </w:p>
    <w:p w:rsidR="004C416A" w:rsidRPr="00117077" w:rsidRDefault="00863F88" w:rsidP="00117077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За да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определи броя на участниците и продължителността на всяко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събитие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обхванато в предоставените бюджети, екипът на Консултанта е използвал в максимална </w:t>
      </w:r>
      <w:r w:rsidR="00E870D3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степен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наличната информация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E870D3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която индиректно се е отнасяла за същото събитие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: прегледани са както описанието и данните за брой, включени в самия разходен елемент, така и информацията в останалата част на бюджета и 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другите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съпътстващи справки/документи (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апликационна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форма, покани, спецификации и др.)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Това се отнася за случаите, в които различни видове разходи за едн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същ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>инициатива</w:t>
      </w:r>
      <w:r w:rsidR="00F102A0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са представени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различен начин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като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разходни елементи в бюджета. Например, командировъчните разходи и разходите за материали 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понякога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са </w:t>
      </w:r>
      <w:r w:rsidR="00E870D3">
        <w:rPr>
          <w:rFonts w:ascii="Times New Roman" w:eastAsia="Calibri" w:hAnsi="Times New Roman" w:cs="Times New Roman"/>
          <w:sz w:val="24"/>
          <w:szCs w:val="24"/>
          <w:lang w:val="bg-BG"/>
        </w:rPr>
        <w:t>описани</w:t>
      </w:r>
      <w:r w:rsidR="00E870D3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отделно от разходите </w:t>
      </w:r>
      <w:r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>за организация на самото събитие. В такива случаи</w:t>
      </w:r>
      <w:r w:rsidR="00CC08EE"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CC08EE"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данните </w:t>
      </w:r>
      <w:r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>за брой участници и/или продължителност на събитието</w:t>
      </w:r>
      <w:r w:rsidR="00CC08EE"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представляващи само част </w:t>
      </w:r>
      <w:r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>от разходните елементи</w:t>
      </w:r>
      <w:r w:rsidR="00CC08EE"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са екстраполирани </w:t>
      </w:r>
      <w:r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>върху разходните елементи</w:t>
      </w:r>
      <w:r w:rsidR="00CC08EE"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същото това събитие, за които данни липсват. </w:t>
      </w:r>
    </w:p>
    <w:p w:rsidR="00863F88" w:rsidRPr="006F582B" w:rsidRDefault="00F102A0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Чрез прилагането на този подход изключването на данни от статистическия анализ е сведено до възможния минимум.  </w:t>
      </w:r>
    </w:p>
    <w:p w:rsidR="00863F88" w:rsidRPr="006F582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 обработката на разходните елементи, отнесени към </w:t>
      </w:r>
      <w:r w:rsidR="00EF70F5">
        <w:rPr>
          <w:rFonts w:ascii="Times New Roman" w:eastAsia="Calibri" w:hAnsi="Times New Roman" w:cs="Times New Roman"/>
          <w:sz w:val="24"/>
          <w:szCs w:val="24"/>
          <w:lang w:val="bg-BG"/>
        </w:rPr>
        <w:t>Дейност 1, Дейност 2 и Дейност 3,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анализираните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бюджети се потвърди 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>хипотезата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, че в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ъв всеки конкретен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случа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>й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разходите по тези дейности имат различен обхват. Например, дадено обучение</w:t>
      </w:r>
      <w:r w:rsidR="00EF70F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или събитие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би могло да се провежда в същото населено място, в което се намира организацията – бенефициент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или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да бъде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изнесено. Във втория случай,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бюджетираните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разходи за обучение</w:t>
      </w:r>
      <w:r w:rsidR="00EF70F5">
        <w:rPr>
          <w:rFonts w:ascii="Times New Roman" w:eastAsia="Calibri" w:hAnsi="Times New Roman" w:cs="Times New Roman"/>
          <w:sz w:val="24"/>
          <w:szCs w:val="24"/>
          <w:lang w:val="bg-BG"/>
        </w:rPr>
        <w:t>/събитие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включват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разходи за транспорт, нощувки и храна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</w:t>
      </w:r>
      <w:r w:rsidR="00EF70F5">
        <w:rPr>
          <w:rFonts w:ascii="Times New Roman" w:eastAsia="Calibri" w:hAnsi="Times New Roman" w:cs="Times New Roman"/>
          <w:sz w:val="24"/>
          <w:szCs w:val="24"/>
          <w:lang w:val="bg-BG"/>
        </w:rPr>
        <w:t>участниците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което рефлектира върху </w:t>
      </w:r>
      <w:r w:rsidR="00F102A0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общия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размер на разходите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>. П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ри обработката на данните за нуждите на статистическия анализ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бяха въведени 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допълнителни категории (сегментиране на данните), за да не се групират 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несъпоставими данни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при анализа</w:t>
      </w:r>
      <w:r w:rsidR="00F102A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</w:p>
    <w:p w:rsidR="00863F88" w:rsidRDefault="004E0CBA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val="bg-BG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bg-BG"/>
        </w:rPr>
        <w:t>Поради р</w:t>
      </w:r>
      <w:r w:rsidR="00863F88" w:rsidRPr="006F582B">
        <w:rPr>
          <w:rFonts w:ascii="Times New Roman" w:eastAsia="Calibri" w:hAnsi="Times New Roman" w:cs="Times New Roman"/>
          <w:b/>
          <w:iCs/>
          <w:sz w:val="24"/>
          <w:szCs w:val="24"/>
          <w:lang w:val="bg-BG"/>
        </w:rPr>
        <w:t>азнородността</w:t>
      </w:r>
      <w:r w:rsidR="00863F88"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 на обхвата на разходите по едни и същи дейности и наложеното от </w:t>
      </w:r>
      <w:r w:rsidR="00F102A0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този факт</w:t>
      </w:r>
      <w:r w:rsidR="00F102A0"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 </w:t>
      </w:r>
      <w:r w:rsidR="00863F88"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сегментиране на данните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, </w:t>
      </w:r>
      <w:r w:rsidR="00863F88"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за част от въведените категории няма достатъчно наблюдения, за да се получат статистически значими резултати за целите на опростеното ценообразуване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 и поради тази причина </w:t>
      </w:r>
      <w:r w:rsidR="00863F88"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данните, отнесени към тези категории, </w:t>
      </w:r>
      <w:r w:rsidR="00863F88"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lang w:val="bg-BG"/>
        </w:rPr>
        <w:t>са изключени от анализа.</w:t>
      </w:r>
    </w:p>
    <w:p w:rsidR="0076691D" w:rsidRPr="006F582B" w:rsidRDefault="0076691D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bg-BG"/>
        </w:rPr>
      </w:pPr>
    </w:p>
    <w:p w:rsidR="00863F88" w:rsidRPr="006F582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Пазарно събрани данни</w:t>
      </w:r>
    </w:p>
    <w:p w:rsidR="00863F88" w:rsidRPr="006F582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Събрани и обработени са актуални пазарни цени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з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 отделните разходни компоненти на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инициативи, които могат да бъдат дефинирани като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обучения</w:t>
      </w:r>
      <w:r w:rsidR="00EF70F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информационни кампании/събития,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научни </w:t>
      </w:r>
      <w:r w:rsidR="00EF70F5" w:rsidRPr="0034771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конгреси, кръгли маси, публични обсъждания и други подобни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дейности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. Целта е получаване на актуална информация за пазарните нива на определен тип разходи, необходими за калкулации на текущи пазарни ставки за различните форми на обучения</w:t>
      </w:r>
      <w:r w:rsidR="00EF70F5">
        <w:rPr>
          <w:rFonts w:ascii="Times New Roman" w:eastAsia="Calibri" w:hAnsi="Times New Roman" w:cs="Times New Roman"/>
          <w:sz w:val="24"/>
          <w:szCs w:val="24"/>
          <w:lang w:val="bg-BG"/>
        </w:rPr>
        <w:t>/събития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съпоставени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със ставките на разходите за единица продукт, определени на база историческа информацията за програмен период 2007-2013 г.</w:t>
      </w:r>
    </w:p>
    <w:p w:rsidR="00863F88" w:rsidRPr="006F582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Проучването е извършено като е използвана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публично достъпна информация в интернет сайтове на организатори на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сходно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събитие и/или дейност. Проучването обхваща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данни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както за големи градове като София, Варна, Пловдив, Бургас, Русе, така и за по-малки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-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В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елико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Търново, Габрово, Кюстендил, Хасково. </w:t>
      </w:r>
    </w:p>
    <w:p w:rsidR="00863F88" w:rsidRPr="006F582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Пазарното проучването е извършено в две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посоки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</w:p>
    <w:p w:rsidR="00863F88" w:rsidRPr="006F582B" w:rsidRDefault="00863F88" w:rsidP="00863F88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проучване на текущи нива на пазарните цени за участие в даден тип събитие (обучение</w:t>
      </w:r>
      <w:r w:rsidR="00EF70F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EF70F5" w:rsidRPr="0034771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конгрес, публични обсъждания, кръгли маси и други подобни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дейности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). Това са цени за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реализирани от организации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събития, за които се заплаща определена такса за участие. В тази такса се включват всички разходи, необходими за 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провеждане</w:t>
      </w:r>
      <w:r w:rsidR="004E0CBA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на съответното събитие. Допълнително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4E0CBA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чрез специализирани фирми за човешки ресурси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="004E0CBA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 направено пазарно проучване на текущите равнища на възнаграждения на експерти от различни професии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с различен опит и стаж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 цел да се изведе часова ставка при 1,856 часа средно работно време за страната</w:t>
      </w:r>
      <w:r w:rsidR="004E0CB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</w:p>
    <w:p w:rsidR="00863F88" w:rsidRPr="006F582B" w:rsidRDefault="00863F88" w:rsidP="00863F88">
      <w:pPr>
        <w:numPr>
          <w:ilvl w:val="0"/>
          <w:numId w:val="14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проучване на пазарните цени на отделните елементи в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калкулационната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структура на разходите за 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>логистика</w:t>
      </w:r>
      <w:r w:rsidR="00A6298D"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даден тип събитие. То обхваща проучване на цените за наем на зала, наем на презентационна техника, настаняване,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кетъринг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транспорт, превод и други. </w:t>
      </w:r>
    </w:p>
    <w:p w:rsidR="00863F88" w:rsidRDefault="00863F88" w:rsidP="00587203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Основните резултати от обработката на пазарно проучените данни са изчисления на пазарни стойности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</w:t>
      </w:r>
      <w:proofErr w:type="spellStart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калкулационните</w:t>
      </w:r>
      <w:proofErr w:type="spellEnd"/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единици, 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база на които са формирани 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>унифицирани ставки на разходите по Дейност 1</w:t>
      </w:r>
      <w:r w:rsidR="00EF70F5">
        <w:rPr>
          <w:rFonts w:ascii="Times New Roman" w:eastAsia="Calibri" w:hAnsi="Times New Roman" w:cs="Times New Roman"/>
          <w:sz w:val="24"/>
          <w:szCs w:val="24"/>
          <w:lang w:val="bg-BG"/>
        </w:rPr>
        <w:t>, Дейност 2 и Дейност 3</w:t>
      </w:r>
      <w:r w:rsidRPr="006F582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за да може да се определи сравнителен еталон спрямо резултатите от статистическия анализ на историческата информация. </w:t>
      </w:r>
    </w:p>
    <w:p w:rsidR="0076691D" w:rsidRPr="00587203" w:rsidRDefault="0076691D" w:rsidP="00587203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863F88" w:rsidRPr="006F582B" w:rsidRDefault="00863F88" w:rsidP="00863F88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6F582B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  <w:t>Статистически данни на национално ниво</w:t>
      </w:r>
    </w:p>
    <w:p w:rsidR="00094852" w:rsidRPr="005C1E3F" w:rsidRDefault="00863F88" w:rsidP="005C1E3F">
      <w:pPr>
        <w:ind w:firstLine="567"/>
        <w:jc w:val="both"/>
        <w:rPr>
          <w:rFonts w:ascii="Times New Roman" w:hAnsi="Times New Roman" w:cs="Times New Roman"/>
          <w:b/>
          <w:sz w:val="24"/>
          <w:lang w:val="bg-BG"/>
        </w:rPr>
      </w:pPr>
      <w:r w:rsidRPr="005C1E3F">
        <w:rPr>
          <w:rFonts w:ascii="Times New Roman" w:hAnsi="Times New Roman" w:cs="Times New Roman"/>
          <w:sz w:val="24"/>
          <w:lang w:val="bg-BG"/>
        </w:rPr>
        <w:t xml:space="preserve">Изпратено </w:t>
      </w:r>
      <w:r w:rsidR="005542B4">
        <w:rPr>
          <w:rFonts w:ascii="Times New Roman" w:hAnsi="Times New Roman" w:cs="Times New Roman"/>
          <w:sz w:val="24"/>
          <w:lang w:val="bg-BG"/>
        </w:rPr>
        <w:t xml:space="preserve">е </w:t>
      </w:r>
      <w:r w:rsidRPr="005C1E3F">
        <w:rPr>
          <w:rFonts w:ascii="Times New Roman" w:hAnsi="Times New Roman" w:cs="Times New Roman"/>
          <w:sz w:val="24"/>
          <w:lang w:val="bg-BG"/>
        </w:rPr>
        <w:t xml:space="preserve">специално писмо с искания </w:t>
      </w:r>
      <w:r w:rsidR="00A6298D" w:rsidRPr="005C1E3F">
        <w:rPr>
          <w:rFonts w:ascii="Times New Roman" w:hAnsi="Times New Roman" w:cs="Times New Roman"/>
          <w:sz w:val="24"/>
          <w:lang w:val="bg-BG"/>
        </w:rPr>
        <w:t>з</w:t>
      </w:r>
      <w:r w:rsidRPr="005C1E3F">
        <w:rPr>
          <w:rFonts w:ascii="Times New Roman" w:hAnsi="Times New Roman" w:cs="Times New Roman"/>
          <w:sz w:val="24"/>
          <w:lang w:val="bg-BG"/>
        </w:rPr>
        <w:t xml:space="preserve">а информация до основните </w:t>
      </w:r>
      <w:r w:rsidR="00A6298D" w:rsidRPr="005C1E3F">
        <w:rPr>
          <w:rFonts w:ascii="Times New Roman" w:hAnsi="Times New Roman" w:cs="Times New Roman"/>
          <w:sz w:val="24"/>
          <w:lang w:val="bg-BG"/>
        </w:rPr>
        <w:t>институци</w:t>
      </w:r>
      <w:r w:rsidR="0010053C" w:rsidRPr="005C1E3F">
        <w:rPr>
          <w:rFonts w:ascii="Times New Roman" w:hAnsi="Times New Roman" w:cs="Times New Roman"/>
          <w:sz w:val="24"/>
          <w:lang w:val="bg-BG"/>
        </w:rPr>
        <w:t>и</w:t>
      </w:r>
      <w:r w:rsidR="00A6298D" w:rsidRPr="005C1E3F">
        <w:rPr>
          <w:rFonts w:ascii="Times New Roman" w:hAnsi="Times New Roman" w:cs="Times New Roman"/>
          <w:sz w:val="24"/>
          <w:lang w:val="bg-BG"/>
        </w:rPr>
        <w:t xml:space="preserve">, които предоставят </w:t>
      </w:r>
      <w:r w:rsidRPr="005C1E3F">
        <w:rPr>
          <w:rFonts w:ascii="Times New Roman" w:hAnsi="Times New Roman" w:cs="Times New Roman"/>
          <w:sz w:val="24"/>
          <w:lang w:val="bg-BG"/>
        </w:rPr>
        <w:t>статистическ</w:t>
      </w:r>
      <w:r w:rsidR="00A6298D" w:rsidRPr="005C1E3F">
        <w:rPr>
          <w:rFonts w:ascii="Times New Roman" w:hAnsi="Times New Roman" w:cs="Times New Roman"/>
          <w:sz w:val="24"/>
          <w:lang w:val="bg-BG"/>
        </w:rPr>
        <w:t xml:space="preserve">и данни </w:t>
      </w:r>
      <w:r w:rsidRPr="005C1E3F">
        <w:rPr>
          <w:rFonts w:ascii="Times New Roman" w:hAnsi="Times New Roman" w:cs="Times New Roman"/>
          <w:sz w:val="24"/>
          <w:lang w:val="bg-BG"/>
        </w:rPr>
        <w:t xml:space="preserve">(НСИ, НОИ, НАП, други организации и агенции за събиране на данни). Предоставена е информация </w:t>
      </w:r>
      <w:r w:rsidRPr="005C1E3F">
        <w:rPr>
          <w:rFonts w:ascii="Times New Roman" w:hAnsi="Times New Roman" w:cs="Times New Roman"/>
          <w:sz w:val="24"/>
          <w:u w:val="single"/>
          <w:lang w:val="bg-BG"/>
        </w:rPr>
        <w:t xml:space="preserve">само от НСИ, но в разрези, неподходящи за изследване на нивата на разходите </w:t>
      </w:r>
      <w:r w:rsidR="00587203" w:rsidRPr="005C1E3F">
        <w:rPr>
          <w:rFonts w:ascii="Times New Roman" w:hAnsi="Times New Roman" w:cs="Times New Roman"/>
          <w:sz w:val="24"/>
          <w:u w:val="single"/>
          <w:lang w:val="bg-BG"/>
        </w:rPr>
        <w:t>по тези дейности</w:t>
      </w:r>
      <w:r w:rsidRPr="005C1E3F">
        <w:rPr>
          <w:rFonts w:ascii="Times New Roman" w:hAnsi="Times New Roman" w:cs="Times New Roman"/>
          <w:sz w:val="24"/>
          <w:lang w:val="bg-BG"/>
        </w:rPr>
        <w:t>, поради което т</w:t>
      </w:r>
      <w:r w:rsidR="00A6298D" w:rsidRPr="005C1E3F">
        <w:rPr>
          <w:rFonts w:ascii="Times New Roman" w:hAnsi="Times New Roman" w:cs="Times New Roman"/>
          <w:sz w:val="24"/>
          <w:lang w:val="bg-BG"/>
        </w:rPr>
        <w:t xml:space="preserve">ези </w:t>
      </w:r>
      <w:r w:rsidRPr="005C1E3F">
        <w:rPr>
          <w:rFonts w:ascii="Times New Roman" w:hAnsi="Times New Roman" w:cs="Times New Roman"/>
          <w:sz w:val="24"/>
          <w:lang w:val="bg-BG"/>
        </w:rPr>
        <w:t xml:space="preserve">данни не са използвани за целите на </w:t>
      </w:r>
      <w:r w:rsidR="00A6298D" w:rsidRPr="005C1E3F">
        <w:rPr>
          <w:rFonts w:ascii="Times New Roman" w:hAnsi="Times New Roman" w:cs="Times New Roman"/>
          <w:sz w:val="24"/>
          <w:lang w:val="bg-BG"/>
        </w:rPr>
        <w:t>задачата</w:t>
      </w:r>
      <w:r w:rsidRPr="005C1E3F">
        <w:rPr>
          <w:rFonts w:ascii="Times New Roman" w:hAnsi="Times New Roman" w:cs="Times New Roman"/>
          <w:sz w:val="24"/>
          <w:lang w:val="bg-BG"/>
        </w:rPr>
        <w:t>.</w:t>
      </w:r>
    </w:p>
    <w:p w:rsidR="0026396B" w:rsidRPr="00700663" w:rsidRDefault="00A6298D" w:rsidP="00431B1B">
      <w:pPr>
        <w:pStyle w:val="ListParagraph"/>
        <w:numPr>
          <w:ilvl w:val="2"/>
          <w:numId w:val="1"/>
        </w:numPr>
        <w:jc w:val="both"/>
        <w:rPr>
          <w:rFonts w:eastAsia="Times New Roman" w:cs="Times New Roman"/>
          <w:b/>
          <w:bCs/>
          <w:smallCaps/>
          <w:kern w:val="36"/>
          <w:sz w:val="28"/>
          <w:szCs w:val="35"/>
          <w:lang w:val="bg-BG"/>
        </w:rPr>
      </w:pPr>
      <w:r>
        <w:rPr>
          <w:rFonts w:eastAsia="Times New Roman" w:cs="Times New Roman"/>
          <w:b/>
          <w:bCs/>
          <w:smallCaps/>
          <w:kern w:val="36"/>
          <w:sz w:val="28"/>
          <w:szCs w:val="35"/>
          <w:lang w:val="bg-BG"/>
        </w:rPr>
        <w:t>Формиране</w:t>
      </w:r>
      <w:r w:rsidRPr="00700663">
        <w:rPr>
          <w:rFonts w:eastAsia="Times New Roman" w:cs="Times New Roman"/>
          <w:b/>
          <w:bCs/>
          <w:smallCaps/>
          <w:kern w:val="36"/>
          <w:sz w:val="28"/>
          <w:szCs w:val="35"/>
          <w:lang w:val="bg-BG"/>
        </w:rPr>
        <w:t xml:space="preserve"> </w:t>
      </w:r>
      <w:r w:rsidR="00587203" w:rsidRPr="00700663">
        <w:rPr>
          <w:rFonts w:eastAsia="Times New Roman" w:cs="Times New Roman"/>
          <w:b/>
          <w:bCs/>
          <w:smallCaps/>
          <w:kern w:val="36"/>
          <w:sz w:val="28"/>
          <w:szCs w:val="35"/>
          <w:lang w:val="bg-BG"/>
        </w:rPr>
        <w:t>на часова ставка</w:t>
      </w:r>
      <w:r w:rsidR="00431B1B" w:rsidRPr="00700663">
        <w:rPr>
          <w:rFonts w:eastAsia="Times New Roman" w:cs="Times New Roman"/>
          <w:b/>
          <w:bCs/>
          <w:smallCaps/>
          <w:kern w:val="36"/>
          <w:sz w:val="28"/>
          <w:szCs w:val="35"/>
          <w:lang w:val="bg-BG"/>
        </w:rPr>
        <w:t xml:space="preserve"> по позиции и тип експерт</w:t>
      </w:r>
      <w:r w:rsidR="0026396B" w:rsidRPr="00700663">
        <w:rPr>
          <w:rFonts w:eastAsia="Calibri" w:cs="Times New Roman"/>
          <w:sz w:val="24"/>
          <w:szCs w:val="24"/>
          <w:lang w:val="bg-BG"/>
        </w:rPr>
        <w:t xml:space="preserve"> </w:t>
      </w:r>
    </w:p>
    <w:p w:rsidR="0026396B" w:rsidRPr="0026396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26396B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Сегментиране на часовите ставки по позиции и тип експерт</w:t>
      </w:r>
    </w:p>
    <w:p w:rsidR="0026396B" w:rsidRPr="0026396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Обработката на бюджетите, извън тези по дейности 1, 2, 3 и 15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(разходите за които са унифицирани на база единица продукт)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си </w:t>
      </w:r>
      <w:r w:rsidR="004C6476">
        <w:rPr>
          <w:rFonts w:ascii="Times New Roman" w:eastAsia="Calibri" w:hAnsi="Times New Roman" w:cs="Times New Roman"/>
          <w:sz w:val="24"/>
          <w:szCs w:val="24"/>
          <w:lang w:val="bg-BG"/>
        </w:rPr>
        <w:t>постави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като основна задача </w:t>
      </w:r>
      <w:r w:rsidR="004C647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да </w:t>
      </w:r>
      <w:r w:rsidR="004C6476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определ</w:t>
      </w:r>
      <w:r w:rsidR="004C647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типа и нивото на експертите, за които са </w:t>
      </w:r>
      <w:proofErr w:type="spellStart"/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бюджетирани</w:t>
      </w:r>
      <w:proofErr w:type="spellEnd"/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разходи за възнаграждения</w:t>
      </w:r>
      <w:r w:rsidR="004C6476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 цел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да 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бъдат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изведе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>ни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A6298D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унифицирани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часови ставки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Списъкът 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>с</w:t>
      </w:r>
      <w:r w:rsidR="00A6298D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>видовете</w:t>
      </w:r>
      <w:r w:rsidR="00A6298D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експерти по типична дейност, 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формулиран в резултат от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изпълнение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>то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</w:t>
      </w:r>
      <w:r w:rsidRPr="0026396B">
        <w:rPr>
          <w:rFonts w:ascii="Times New Roman" w:eastAsia="Calibri" w:hAnsi="Times New Roman" w:cs="Times New Roman"/>
          <w:i/>
          <w:sz w:val="24"/>
          <w:szCs w:val="24"/>
          <w:lang w:val="bg-BG"/>
        </w:rPr>
        <w:t>Дейност 1 „Анализ на приложението на стандартни таблици за разходи за единица от бенефициентите по проекти, реализирани със средства от ЕСИФ”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е 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актуализиран спрямо </w:t>
      </w:r>
      <w:r w:rsidR="005967C1">
        <w:rPr>
          <w:rFonts w:ascii="Times New Roman" w:eastAsia="Calibri" w:hAnsi="Times New Roman" w:cs="Times New Roman"/>
          <w:sz w:val="24"/>
          <w:szCs w:val="24"/>
          <w:lang w:val="bg-BG"/>
        </w:rPr>
        <w:t>спецификата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събраната</w:t>
      </w:r>
      <w:r w:rsidR="00A6298D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информация</w:t>
      </w:r>
      <w:r w:rsidR="00A629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</w:p>
    <w:p w:rsidR="0026396B" w:rsidRPr="0026396B" w:rsidRDefault="005967C1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Актуализирането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на списъка от типове експерти,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съобразно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количеството и качеството на наличните данни,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има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цел максимално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то им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оползотворяване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целите на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статистическия анализ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като същевременно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 това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се следва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предложената методика за ценообразуване.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Експертите, за които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не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 намерен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достатъчен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статистически значим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брой наблюдения в рамките на бюджетите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са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</w:t>
      </w:r>
      <w:r w:rsidR="0026396B" w:rsidRPr="0026396B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елиминирани за изследването</w:t>
      </w:r>
      <w:r w:rsidR="0026396B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7B718B" w:rsidRDefault="0026396B" w:rsidP="007B718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26396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В резултат </w:t>
      </w:r>
      <w:r w:rsidR="00343F4D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на извършения първоначален детайлен анализ </w:t>
      </w:r>
      <w:r w:rsidRPr="0026396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са изведени отделни часови ставки за </w:t>
      </w:r>
      <w:r w:rsidR="0076691D" w:rsidRPr="0026396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3</w:t>
      </w:r>
      <w:r w:rsidR="0076691D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1 </w:t>
      </w:r>
      <w:r w:rsidR="005F1BB3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позиции</w:t>
      </w:r>
      <w:r w:rsidR="00343F4D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 (Приложение 8)</w:t>
      </w:r>
      <w:r w:rsidRPr="0026396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 xml:space="preserve">. </w:t>
      </w:r>
      <w:proofErr w:type="spellStart"/>
      <w:r w:rsidRPr="0026396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Регресионният</w:t>
      </w:r>
      <w:proofErr w:type="spellEnd"/>
      <w:r w:rsidRPr="0026396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модел показва, че за 11 от експертите часовата ставка </w:t>
      </w:r>
      <w:r w:rsidR="005F1BB3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е необходимо да </w:t>
      </w:r>
      <w:r w:rsidRPr="0026396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се диференцира</w:t>
      </w:r>
      <w:r w:rsidR="005F1BB3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съобразно нивото на тяхната експертиза</w:t>
      </w:r>
      <w:r w:rsidRPr="0026396B">
        <w:rPr>
          <w:rFonts w:ascii="Times New Roman" w:eastAsia="Calibri" w:hAnsi="Times New Roman" w:cs="Times New Roman"/>
          <w:b/>
          <w:sz w:val="24"/>
          <w:szCs w:val="24"/>
          <w:lang w:val="bg-BG"/>
        </w:rPr>
        <w:t>, а за всички останали</w:t>
      </w:r>
      <w:r w:rsidR="005F1BB3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26396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данните и анализът водят до заключението, че няма статистически значими разлики в часовите ставки и следователно е приложима единна часова ставка.</w:t>
      </w:r>
      <w:r w:rsidR="007B718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="007B718B" w:rsidRPr="00700663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За дейност „Организация и управление на проекти” </w:t>
      </w:r>
      <w:r w:rsidR="00343F4D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първоначално </w:t>
      </w:r>
      <w:r w:rsidR="007B718B" w:rsidRPr="00700663">
        <w:rPr>
          <w:rFonts w:ascii="Times New Roman" w:eastAsia="Calibri" w:hAnsi="Times New Roman" w:cs="Times New Roman"/>
          <w:b/>
          <w:sz w:val="24"/>
          <w:szCs w:val="24"/>
          <w:lang w:val="bg-BG"/>
        </w:rPr>
        <w:t>са изведени часови ставки за 11 от общо 12 позиции (</w:t>
      </w:r>
      <w:r w:rsidR="005F1BB3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без </w:t>
      </w:r>
      <w:r w:rsidR="007B718B" w:rsidRPr="00700663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позиция „</w:t>
      </w:r>
      <w:proofErr w:type="spellStart"/>
      <w:r w:rsidR="007B718B" w:rsidRPr="00700663">
        <w:rPr>
          <w:rFonts w:ascii="Times New Roman" w:eastAsia="Calibri" w:hAnsi="Times New Roman" w:cs="Times New Roman"/>
          <w:b/>
          <w:sz w:val="24"/>
          <w:szCs w:val="24"/>
          <w:lang w:val="bg-BG"/>
        </w:rPr>
        <w:t>одитор</w:t>
      </w:r>
      <w:proofErr w:type="spellEnd"/>
      <w:r w:rsidR="007B718B" w:rsidRPr="00700663">
        <w:rPr>
          <w:rFonts w:ascii="Times New Roman" w:eastAsia="Calibri" w:hAnsi="Times New Roman" w:cs="Times New Roman"/>
          <w:b/>
          <w:sz w:val="24"/>
          <w:szCs w:val="24"/>
          <w:lang w:val="bg-BG"/>
        </w:rPr>
        <w:t>”).</w:t>
      </w:r>
    </w:p>
    <w:p w:rsidR="0076691D" w:rsidRDefault="0076691D" w:rsidP="007B718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76691D" w:rsidRPr="007B718B" w:rsidRDefault="0076691D" w:rsidP="007B718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26396B" w:rsidRPr="0026396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</w:pPr>
      <w:r w:rsidRPr="0026396B">
        <w:rPr>
          <w:rFonts w:ascii="Times New Roman" w:eastAsia="Calibri" w:hAnsi="Times New Roman" w:cs="Times New Roman"/>
          <w:b/>
          <w:i/>
          <w:iCs/>
          <w:sz w:val="24"/>
          <w:szCs w:val="24"/>
          <w:lang w:val="bg-BG"/>
        </w:rPr>
        <w:t>Пазарно събрани данни</w:t>
      </w:r>
    </w:p>
    <w:p w:rsidR="0026396B" w:rsidRPr="0026396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Пазарно събраните данни са получени 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>от</w:t>
      </w:r>
      <w:r w:rsidR="005F1BB3"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специализирана фирма, представител на международна верига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проучване на човешки ресурси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Данните са за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нива и състав на възнагражденията 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>з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а различни професии и експерти</w:t>
      </w:r>
      <w:r w:rsidR="00343F4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Изведени са часови ставки за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8  </w:t>
      </w:r>
      <w:r w:rsidR="00343F4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обобщени позиции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експерти, при усреднен размер на работни часове за програмен период 2007-2013 г. – 1,856 часа.     </w:t>
      </w:r>
    </w:p>
    <w:p w:rsidR="0026396B" w:rsidRPr="0026396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Целта 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проучването е да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определ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сравнителен еталон спрямо резултатите от статистическия анализ на историческата информация. </w:t>
      </w:r>
    </w:p>
    <w:p w:rsidR="0026396B" w:rsidRPr="0026396B" w:rsidRDefault="0026396B" w:rsidP="0026396B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  <w:r w:rsidRPr="0026396B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bg-BG"/>
        </w:rPr>
        <w:t>Статистически данни на национално ниво</w:t>
      </w:r>
    </w:p>
    <w:p w:rsidR="0026396B" w:rsidRPr="0026396B" w:rsidRDefault="0026396B" w:rsidP="00431B1B">
      <w:pPr>
        <w:ind w:firstLine="567"/>
        <w:jc w:val="both"/>
      </w:pP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Из</w:t>
      </w:r>
      <w:r w:rsidR="001005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пратено </w:t>
      </w:r>
      <w:r w:rsidR="00764F2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 </w:t>
      </w:r>
      <w:r w:rsidR="0010053C">
        <w:rPr>
          <w:rFonts w:ascii="Times New Roman" w:eastAsia="Calibri" w:hAnsi="Times New Roman" w:cs="Times New Roman"/>
          <w:sz w:val="24"/>
          <w:szCs w:val="24"/>
          <w:lang w:val="bg-BG"/>
        </w:rPr>
        <w:t>специално писмо с искан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>е за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информация до основните 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институции, които събират и анализират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статистическа информация (НСИ, НОИ, НАП, други организации и агенции за събиране на данни). Предоставена е информация </w:t>
      </w:r>
      <w:r w:rsidRPr="0026396B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само от НСИ, но в разрези, неподходящи за изследване на нивата на разходите на </w:t>
      </w:r>
      <w:r w:rsidR="00431B1B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тези дейности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, поради което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те </w:t>
      </w:r>
      <w:r w:rsidRPr="0026396B">
        <w:rPr>
          <w:rFonts w:ascii="Times New Roman" w:eastAsia="Calibri" w:hAnsi="Times New Roman" w:cs="Times New Roman"/>
          <w:sz w:val="24"/>
          <w:szCs w:val="24"/>
          <w:lang w:val="bg-BG"/>
        </w:rPr>
        <w:t>не са използвани за целите на формиране на унифицираните ставки.</w:t>
      </w:r>
    </w:p>
    <w:p w:rsidR="00F53D15" w:rsidRPr="00E07A15" w:rsidRDefault="00F06E2E" w:rsidP="00587203">
      <w:pPr>
        <w:pStyle w:val="Heading1"/>
        <w:keepNext/>
        <w:keepLines/>
        <w:numPr>
          <w:ilvl w:val="1"/>
          <w:numId w:val="1"/>
        </w:numPr>
        <w:pBdr>
          <w:top w:val="none" w:sz="0" w:space="0" w:color="auto"/>
        </w:pBdr>
        <w:spacing w:before="0" w:after="120" w:line="276" w:lineRule="auto"/>
        <w:ind w:left="1134" w:hanging="567"/>
        <w:jc w:val="both"/>
        <w:rPr>
          <w:smallCaps/>
          <w:sz w:val="28"/>
          <w:lang w:val="bg-BG"/>
        </w:rPr>
      </w:pPr>
      <w:r>
        <w:rPr>
          <w:smallCaps/>
          <w:sz w:val="28"/>
          <w:lang w:val="bg-BG"/>
        </w:rPr>
        <w:t>Р</w:t>
      </w:r>
      <w:r w:rsidR="00640CAD" w:rsidRPr="00640CAD">
        <w:rPr>
          <w:smallCaps/>
          <w:sz w:val="28"/>
          <w:lang w:val="bg-BG"/>
        </w:rPr>
        <w:t>азработване и изпълнение на специални процедури</w:t>
      </w:r>
      <w:bookmarkEnd w:id="1"/>
    </w:p>
    <w:p w:rsidR="00F53D15" w:rsidRPr="00F53D15" w:rsidRDefault="00F53D15" w:rsidP="00F53D15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ИСУН (програмен период 2007-2013 г.) – проучване на информационните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10053C">
        <w:rPr>
          <w:rFonts w:ascii="Times New Roman" w:eastAsia="Calibri" w:hAnsi="Times New Roman" w:cs="Times New Roman"/>
          <w:sz w:val="24"/>
          <w:szCs w:val="24"/>
          <w:lang w:val="bg-BG"/>
        </w:rPr>
        <w:t>в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ъзможности 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системата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за производство на синтезирана аналитична информация и използване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>то 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като източник, най-вече на първични данни 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>от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проекти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финансирани в рамките на предходния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програмен период 2007-2013 г. Извличане на първични данни от регистрирани</w:t>
      </w:r>
      <w:r w:rsidR="005F1BB3">
        <w:rPr>
          <w:rFonts w:ascii="Times New Roman" w:eastAsia="Calibri" w:hAnsi="Times New Roman" w:cs="Times New Roman"/>
          <w:sz w:val="24"/>
          <w:szCs w:val="24"/>
          <w:lang w:val="bg-BG"/>
        </w:rPr>
        <w:t>те в системата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бюджети. Обработка и сортиране на първични данни за целите на статистическия анализ. </w:t>
      </w:r>
    </w:p>
    <w:p w:rsidR="00F53D15" w:rsidRPr="00F53D15" w:rsidRDefault="005F1BB3" w:rsidP="00F53D15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="00F53D15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нтервюта и обсъждания с представители на управляващия орган на всяка програма (по предварително подготвен въпросник, съгласуван и одобрен от Възложителя), проведени 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>в</w:t>
      </w:r>
      <w:r w:rsidR="00F53D15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няколко кръга: </w:t>
      </w:r>
    </w:p>
    <w:p w:rsidR="00F53D15" w:rsidRPr="00F53D15" w:rsidRDefault="00F53D15" w:rsidP="00F53D15">
      <w:pPr>
        <w:numPr>
          <w:ilvl w:val="0"/>
          <w:numId w:val="9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>първи кръг от срещи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- 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проучване на историческия опит на </w:t>
      </w:r>
      <w:r w:rsidR="00FA59E6">
        <w:rPr>
          <w:rFonts w:ascii="Times New Roman" w:eastAsia="Calibri" w:hAnsi="Times New Roman" w:cs="Times New Roman"/>
          <w:i/>
          <w:sz w:val="24"/>
          <w:szCs w:val="24"/>
          <w:lang w:val="bg-BG"/>
        </w:rPr>
        <w:t>управляващите органи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за прилагане на опростени разходи през </w:t>
      </w:r>
      <w:r w:rsidR="00FA59E6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предходния</w:t>
      </w:r>
      <w:r w:rsidR="00FA59E6"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програмен период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: прилагани ли са стандартни таблици за разходи за единица продукт; ако отговорът е „да” – по какъв начин (чрез каква методология) са определяни ставките, в какъв правен контекст, как това се е отразило на качеството на проектите на ниво кандидатстване и впоследствие при тяхното изпълнение и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последващ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контрол, какви са били най-често срещаните проблеми/нередности/несъответствия и пр.; ако отговорът е „не” и не са прилагани стандартни таблици – какви са били основанията и причините да се вземе подобно решение, как са договаряни и формирани разходите, как са били отчитани и наблюдавани, какви проблеми са имали бенефициентите и УО при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последващия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контрол и пр.;</w:t>
      </w:r>
    </w:p>
    <w:p w:rsidR="00F53D15" w:rsidRPr="00F53D15" w:rsidRDefault="00F53D15" w:rsidP="00F53D15">
      <w:pPr>
        <w:numPr>
          <w:ilvl w:val="0"/>
          <w:numId w:val="9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о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бща среща-обсъждане с представители на </w:t>
      </w:r>
      <w:r w:rsidR="00FA59E6">
        <w:rPr>
          <w:rFonts w:ascii="Times New Roman" w:eastAsia="Calibri" w:hAnsi="Times New Roman" w:cs="Times New Roman"/>
          <w:i/>
          <w:sz w:val="24"/>
          <w:szCs w:val="24"/>
          <w:lang w:val="bg-BG"/>
        </w:rPr>
        <w:t>управляващите органи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, социално-икономическите партньори (СИП) и Възложителя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: обсъждане на 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идентифицираните от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екипа на Изпълнителя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дейности като типични по проекти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и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изпълнявани със собствени ресурси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бенефициентите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, типовете експерти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тези дейности и мерките (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калкулационни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единици) за остойностяването им; </w:t>
      </w:r>
    </w:p>
    <w:p w:rsidR="00F53D15" w:rsidRPr="00F53D15" w:rsidRDefault="00F53D15" w:rsidP="00F53D15">
      <w:pPr>
        <w:numPr>
          <w:ilvl w:val="0"/>
          <w:numId w:val="9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>втори кръг от срещи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- д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етайлно обсъждане с </w:t>
      </w:r>
      <w:r w:rsidR="00FA59E6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експертите от управляващите органи на идентифицираните 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като типични дейности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: съдържание и обхват, видове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поддейности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обхват на разходите по тях и пр., възможните подходи и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калкулационни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единици за изчисляването на унифицирани стандартни ставки, обичайно заетите експерти от собствения персонал, възможните източници на информация за извеждане на унифицирани ставки, специфики и очаквания на УО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; </w:t>
      </w:r>
      <w:r w:rsidR="00FA59E6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практика</w:t>
      </w:r>
      <w:r w:rsidR="00FA59E6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та им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за поддържане на исторически и пазарни данни за тези дейности и</w:t>
      </w:r>
      <w:r w:rsidR="00FA59E6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експертите в съответната структура,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заети</w:t>
      </w:r>
      <w:r w:rsidR="00FA59E6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в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управлението и контрола на проектите по време на </w:t>
      </w:r>
      <w:r w:rsidR="00FA59E6"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пред</w:t>
      </w:r>
      <w:r w:rsidR="00FA59E6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ходн</w:t>
      </w:r>
      <w:r w:rsidR="0010053C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и</w:t>
      </w:r>
      <w:r w:rsidR="00FA59E6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я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програмен период 2007-2013 г. – систематизирано текущо събиране и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сводиране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на сортирана, аналитично и статистически обработван</w:t>
      </w:r>
      <w:r w:rsidR="00FA59E6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а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и поддържан</w:t>
      </w:r>
      <w:r w:rsidR="00FA59E6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а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обобщена в определени разрези/показатели информация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както 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предоставяне от всеки УО на историческа информация на ниво бенефициент от реални проекти, 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представителни и съдържа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>щи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данни за </w:t>
      </w:r>
      <w:r w:rsidR="00FA59E6">
        <w:rPr>
          <w:rFonts w:ascii="Times New Roman" w:eastAsia="Calibri" w:hAnsi="Times New Roman" w:cs="Times New Roman"/>
          <w:sz w:val="24"/>
          <w:szCs w:val="24"/>
          <w:lang w:val="bg-BG"/>
        </w:rPr>
        <w:t>идентифицираните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като типични 15 дейности.</w:t>
      </w:r>
    </w:p>
    <w:p w:rsidR="00F53D15" w:rsidRPr="00F53D15" w:rsidRDefault="00F53D15" w:rsidP="00F53D15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Онлайн проучване </w:t>
      </w:r>
      <w:r w:rsidR="00E21039">
        <w:rPr>
          <w:rFonts w:ascii="Times New Roman" w:eastAsia="Calibri" w:hAnsi="Times New Roman" w:cs="Times New Roman"/>
          <w:sz w:val="24"/>
          <w:szCs w:val="24"/>
          <w:lang w:val="bg-BG"/>
        </w:rPr>
        <w:t>на мнението на</w:t>
      </w:r>
      <w:r w:rsidR="00E21039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бенефициенти – на два етапа: </w:t>
      </w:r>
    </w:p>
    <w:p w:rsidR="00F53D15" w:rsidRPr="00F53D15" w:rsidRDefault="00F53D15" w:rsidP="00F53D15">
      <w:pPr>
        <w:numPr>
          <w:ilvl w:val="0"/>
          <w:numId w:val="10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>проучване мнението на бенефициенти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по отделните оперативни програми за програмен период 2007-2013 г.</w:t>
      </w:r>
      <w:r w:rsidR="00E21039">
        <w:rPr>
          <w:rFonts w:ascii="Times New Roman" w:eastAsia="Calibri" w:hAnsi="Times New Roman" w:cs="Times New Roman"/>
          <w:i/>
          <w:sz w:val="24"/>
          <w:szCs w:val="24"/>
          <w:lang w:val="bg-BG"/>
        </w:rPr>
        <w:t>,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чрез анкетна карта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, структурирана със затворени въпроси</w:t>
      </w:r>
      <w:r w:rsidR="00E2103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опита им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предходния програмен период, </w:t>
      </w:r>
      <w:r w:rsidR="00E2103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както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възможностите и нагласата им за въвеждане на опростените разходи </w:t>
      </w:r>
      <w:r w:rsidR="00E21039">
        <w:rPr>
          <w:rFonts w:ascii="Times New Roman" w:eastAsia="Calibri" w:hAnsi="Times New Roman" w:cs="Times New Roman"/>
          <w:sz w:val="24"/>
          <w:szCs w:val="24"/>
          <w:lang w:val="bg-BG"/>
        </w:rPr>
        <w:t>през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програмен период 2014-2020 г.; </w:t>
      </w:r>
    </w:p>
    <w:p w:rsidR="00F53D15" w:rsidRPr="00F53D15" w:rsidRDefault="00F53D15" w:rsidP="00F53D15">
      <w:pPr>
        <w:numPr>
          <w:ilvl w:val="0"/>
          <w:numId w:val="10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>проучване мнението на</w:t>
      </w:r>
      <w:r w:rsidR="00E21039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 xml:space="preserve"> потенциалните</w:t>
      </w:r>
      <w:r w:rsidRPr="00F53D15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 xml:space="preserve"> бенефициенти</w:t>
      </w:r>
      <w:r w:rsidR="00E2103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за</w:t>
      </w:r>
      <w:r w:rsidR="00E21039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програмен период 20</w:t>
      </w:r>
      <w:r w:rsidR="00E21039">
        <w:rPr>
          <w:rFonts w:ascii="Times New Roman" w:eastAsia="Calibri" w:hAnsi="Times New Roman" w:cs="Times New Roman"/>
          <w:i/>
          <w:sz w:val="24"/>
          <w:szCs w:val="24"/>
          <w:lang w:val="bg-BG"/>
        </w:rPr>
        <w:t>14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-20</w:t>
      </w:r>
      <w:r w:rsidR="00E21039">
        <w:rPr>
          <w:rFonts w:ascii="Times New Roman" w:eastAsia="Calibri" w:hAnsi="Times New Roman" w:cs="Times New Roman"/>
          <w:i/>
          <w:sz w:val="24"/>
          <w:szCs w:val="24"/>
          <w:lang w:val="bg-BG"/>
        </w:rPr>
        <w:t>20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г. чрез анкетна карта</w:t>
      </w:r>
      <w:r w:rsidR="00E21039">
        <w:rPr>
          <w:rFonts w:ascii="Times New Roman" w:eastAsia="Calibri" w:hAnsi="Times New Roman" w:cs="Times New Roman"/>
          <w:i/>
          <w:sz w:val="24"/>
          <w:szCs w:val="24"/>
          <w:lang w:val="bg-BG"/>
        </w:rPr>
        <w:t>,</w:t>
      </w:r>
      <w:r w:rsidR="00E2103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насочена към проучване на мнението им за предложените за стандартизиране типове дейности, изпълнявани със собствени ресурси – тестване на таблиците с видовете дейности и техния обхват, типове експерти и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калкулационни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единици за остойностяване.</w:t>
      </w:r>
    </w:p>
    <w:p w:rsidR="00F53D15" w:rsidRPr="00F53D15" w:rsidRDefault="00E21039" w:rsidP="00F53D15">
      <w:pPr>
        <w:numPr>
          <w:ilvl w:val="0"/>
          <w:numId w:val="8"/>
        </w:numPr>
        <w:tabs>
          <w:tab w:val="left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="00F53D15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нтервюта чрез писма и срещи-обсъждания със социално-икономическите партньори и други заинтересовани страни:</w:t>
      </w:r>
    </w:p>
    <w:p w:rsidR="00F53D15" w:rsidRPr="00F53D15" w:rsidRDefault="00F53D15" w:rsidP="00F53D15">
      <w:pPr>
        <w:numPr>
          <w:ilvl w:val="0"/>
          <w:numId w:val="11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>изпратени писма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 искане за предоставяне на релевантна информация за и/или срещи за дискутиране на резултати от изпълнението на ангажимента по проекта </w:t>
      </w:r>
      <w:r w:rsidR="009628F9">
        <w:rPr>
          <w:rFonts w:ascii="Times New Roman" w:eastAsia="Calibri" w:hAnsi="Times New Roman" w:cs="Times New Roman"/>
          <w:sz w:val="24"/>
          <w:szCs w:val="24"/>
          <w:lang w:val="bg-BG"/>
        </w:rPr>
        <w:t>до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: Конфедерация на труда “Подкрепа” (вкл. Институт за социални, икономически и синдикални изследвания); КНСБ (вкл. Институт за синдикални и социални изследвания); Икономическия и социален съвет на Р. България; Националното сдружение на общините в Р. България; Национално сдружение на общинските експерти по управление на проекти; Българската асоциация на консултантите по европейски програми (БАКЕП); Българската асоциация на бенефициентите по Европейски програми (БАБЕП); КРИБ; Съюз на юристите в България; Съюз на икономистите в България; Синдикат на българските учители; Българска социологическа асоциация; Българска асоциация по информационни технологии; Българска макроикономическа асоциация; Камара на инженерите в инвестиционното проектиране; Камара на строителите в България и др. </w:t>
      </w:r>
    </w:p>
    <w:p w:rsidR="00F53D15" w:rsidRPr="00F53D15" w:rsidRDefault="00F53D15" w:rsidP="00F53D15">
      <w:pPr>
        <w:numPr>
          <w:ilvl w:val="0"/>
          <w:numId w:val="11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о</w:t>
      </w: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бща среща-обсъждане с представители на УО, социално-икономическите партньори и на Възложителя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: обсъждане на предлаганите от екипа на Изпълнителя идентифицирани</w:t>
      </w:r>
      <w:r w:rsidR="009628F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те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като типични по проекти и изпълнявани със собствени ресурси</w:t>
      </w:r>
      <w:r w:rsidR="009628F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дейности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типовете експерти, участващи в изпълнението </w:t>
      </w:r>
      <w:r w:rsidR="009628F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им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и мерките (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калкулационни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единици) за </w:t>
      </w:r>
      <w:r w:rsidR="009628F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тяхното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остойностяване</w:t>
      </w:r>
      <w:r w:rsidR="009628F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; </w:t>
      </w:r>
    </w:p>
    <w:p w:rsidR="00F53D15" w:rsidRPr="00F53D15" w:rsidRDefault="00F53D15" w:rsidP="00F53D15">
      <w:pPr>
        <w:numPr>
          <w:ilvl w:val="0"/>
          <w:numId w:val="11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u w:val="single"/>
          <w:lang w:val="bg-BG"/>
        </w:rPr>
        <w:t>срещи-обсъждания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със СИП и други заинтересовани страни – КНСБ, БСК, БТПП, КРИБ, НСОРБ, за детайлн</w:t>
      </w:r>
      <w:r w:rsidR="0020752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коментари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типичните дейности (съдържание и видове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поддейности</w:t>
      </w:r>
      <w:proofErr w:type="spellEnd"/>
      <w:r w:rsidR="0020752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(типове)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обхват на разходите по тях и др.), възможните подходи и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калкулационни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единици за изчисляването на унифицирани стандартни ставки, обичайно заетите експерти от собствения персонал, възможни източници на информация, и</w:t>
      </w:r>
      <w:r w:rsidR="0020752C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практика</w:t>
      </w:r>
      <w:r w:rsidR="0020752C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та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за поддържане на исторически и пазарни данни за тези дейности и заетите </w:t>
      </w:r>
      <w:r w:rsidR="0020752C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в тях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експерти</w:t>
      </w:r>
      <w:r w:rsidR="0020752C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 – текущо систематизирано събиране и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сводиране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, сортиране, аналитично и статистически обработване и поддържане на информация в определени разрези/показатели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, както и за предоставяне на исторически данни на ниво бенефициент от</w:t>
      </w:r>
      <w:r w:rsidR="0020752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изпълнявани от тях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проекти</w:t>
      </w:r>
      <w:r w:rsidR="0020752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</w:p>
    <w:p w:rsidR="00F53D15" w:rsidRPr="00F53D15" w:rsidRDefault="00F53D15" w:rsidP="00F53D15">
      <w:pPr>
        <w:numPr>
          <w:ilvl w:val="0"/>
          <w:numId w:val="4"/>
        </w:numPr>
        <w:tabs>
          <w:tab w:val="num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Писма с искания за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предоставяне на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информация до НСИ, НОИ, НАП, на база тяхната стандартна практика за събиране, поддържане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статистическо обработване и извеждане на определени показатели,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равнищата на възнагражденията и разходите за живот на определени типове професии в определени сектори,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съотносими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дефинираните 15 типични дейности и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>видовете</w:t>
      </w:r>
      <w:r w:rsidR="00E6546B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експерти, заети в тях. Проведени са срещи с:</w:t>
      </w:r>
    </w:p>
    <w:p w:rsidR="00F53D15" w:rsidRPr="00F53D15" w:rsidRDefault="00F53D15" w:rsidP="00F53D15">
      <w:pPr>
        <w:numPr>
          <w:ilvl w:val="0"/>
          <w:numId w:val="12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НСИ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– среща с представители на ръководството на института;</w:t>
      </w:r>
    </w:p>
    <w:p w:rsidR="00F53D15" w:rsidRPr="00F53D15" w:rsidRDefault="00F53D15" w:rsidP="00F53D15">
      <w:pPr>
        <w:numPr>
          <w:ilvl w:val="0"/>
          <w:numId w:val="12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НОИ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– среща с представители на ръководството на института;</w:t>
      </w:r>
    </w:p>
    <w:p w:rsidR="00F53D15" w:rsidRPr="00F53D15" w:rsidRDefault="00F53D15" w:rsidP="00F53D15">
      <w:pPr>
        <w:numPr>
          <w:ilvl w:val="0"/>
          <w:numId w:val="12"/>
        </w:numPr>
        <w:spacing w:after="120" w:line="276" w:lineRule="auto"/>
        <w:ind w:left="1134" w:hanging="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i/>
          <w:sz w:val="24"/>
          <w:szCs w:val="24"/>
          <w:lang w:val="bg-BG"/>
        </w:rPr>
        <w:t>НАП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– среща с представители на ръководството на агенцията.</w:t>
      </w:r>
    </w:p>
    <w:p w:rsidR="00F53D15" w:rsidRPr="00F53D15" w:rsidRDefault="00F53D15" w:rsidP="00F53D15">
      <w:pPr>
        <w:numPr>
          <w:ilvl w:val="0"/>
          <w:numId w:val="4"/>
        </w:numPr>
        <w:tabs>
          <w:tab w:val="num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Разработване на </w:t>
      </w:r>
      <w:r w:rsidRPr="00F53D15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детайлна анкетна карта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проучване чрез нея на позициите на заинтересованите от предмета на настоящия ангажимент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>страни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както и събиране на релевантна информация (историческа и текуща) от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тях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относно: предложения списък от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идентифицираните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15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типични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дейности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които биха могли да се изпълняват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със собствени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>ресурси от бенефициентите на оперативните програми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, включително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тяхното съдържание и обхват на разходите, и предоставяне на информация за определени финансови и нефинансови показатели (вж. Приложение №2</w:t>
      </w:r>
      <w:r>
        <w:rPr>
          <w:rFonts w:ascii="Times New Roman" w:eastAsia="Calibri" w:hAnsi="Times New Roman" w:cs="Times New Roman"/>
          <w:sz w:val="24"/>
          <w:szCs w:val="24"/>
        </w:rPr>
        <w:t>-1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).</w:t>
      </w:r>
    </w:p>
    <w:p w:rsidR="0010053C" w:rsidRDefault="00F53D15" w:rsidP="0010053C">
      <w:pPr>
        <w:numPr>
          <w:ilvl w:val="0"/>
          <w:numId w:val="4"/>
        </w:numPr>
        <w:tabs>
          <w:tab w:val="num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Събиране и проучване на получени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попълнени анкетни карти и бюджети от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изпълнявани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проекти </w:t>
      </w:r>
      <w:r w:rsidR="00E6546B">
        <w:rPr>
          <w:rFonts w:ascii="Times New Roman" w:eastAsia="Calibri" w:hAnsi="Times New Roman" w:cs="Times New Roman"/>
          <w:sz w:val="24"/>
          <w:szCs w:val="24"/>
          <w:lang w:val="bg-BG"/>
        </w:rPr>
        <w:t>през</w:t>
      </w:r>
      <w:r w:rsidR="00E6546B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първ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ия програмен период 2007-2013 г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F53D15" w:rsidRPr="0010053C" w:rsidRDefault="0010053C" w:rsidP="0010053C">
      <w:pPr>
        <w:numPr>
          <w:ilvl w:val="0"/>
          <w:numId w:val="4"/>
        </w:numPr>
        <w:tabs>
          <w:tab w:val="num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0053C">
        <w:rPr>
          <w:rFonts w:ascii="Times New Roman" w:eastAsia="Calibri" w:hAnsi="Times New Roman" w:cs="Times New Roman"/>
          <w:sz w:val="24"/>
          <w:szCs w:val="24"/>
          <w:lang w:val="bg-BG"/>
        </w:rPr>
        <w:t>Събиране и проучване на текуща пазарна информация за ценовите равнища на типичните дейности, обект на стандартизиране чрез унифицирани ставки на единица продукт (различни от часова ставка на експерт) -  заплащане на такса за участие в сходни дейности, организирани от независима външна организация (вж. Приложение №2-2).</w:t>
      </w:r>
    </w:p>
    <w:p w:rsidR="00F53D15" w:rsidRPr="00F53D15" w:rsidRDefault="00F53D15" w:rsidP="00F53D15">
      <w:pPr>
        <w:numPr>
          <w:ilvl w:val="0"/>
          <w:numId w:val="4"/>
        </w:numPr>
        <w:tabs>
          <w:tab w:val="num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Събиране и проучване на текуща пазарна информация за ценовите равнища на отделните </w:t>
      </w:r>
      <w:proofErr w:type="spellStart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калкулационни</w:t>
      </w:r>
      <w:proofErr w:type="spellEnd"/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елементи на разходите на типичните дейности</w:t>
      </w:r>
      <w:r w:rsidR="00C003BF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C003B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обект на </w:t>
      </w:r>
      <w:r w:rsidR="00C003BF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стандартизиране чрез</w:t>
      </w:r>
      <w:r w:rsidR="00C003B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C003BF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унифицирани ставки на единица продукт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C003BF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(различ</w:t>
      </w:r>
      <w:r w:rsidR="00C003BF">
        <w:rPr>
          <w:rFonts w:ascii="Times New Roman" w:eastAsia="Calibri" w:hAnsi="Times New Roman" w:cs="Times New Roman"/>
          <w:sz w:val="24"/>
          <w:szCs w:val="24"/>
          <w:lang w:val="bg-BG"/>
        </w:rPr>
        <w:t>ни</w:t>
      </w:r>
      <w:r w:rsidR="00C003BF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часова ставка на експерт)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(Приложение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2-</w:t>
      </w:r>
      <w:r w:rsidR="00170978">
        <w:rPr>
          <w:rFonts w:ascii="Times New Roman" w:eastAsia="Calibri" w:hAnsi="Times New Roman" w:cs="Times New Roman"/>
          <w:sz w:val="24"/>
          <w:szCs w:val="24"/>
        </w:rPr>
        <w:t>2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).</w:t>
      </w:r>
    </w:p>
    <w:p w:rsidR="00F53D15" w:rsidRPr="00F53D15" w:rsidRDefault="00F53D15" w:rsidP="00F53D15">
      <w:pPr>
        <w:numPr>
          <w:ilvl w:val="0"/>
          <w:numId w:val="4"/>
        </w:numPr>
        <w:tabs>
          <w:tab w:val="num" w:pos="851"/>
        </w:tabs>
        <w:spacing w:after="120" w:line="276" w:lineRule="auto"/>
        <w:ind w:left="851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Получаване и </w:t>
      </w:r>
      <w:r w:rsidR="009C69FA">
        <w:rPr>
          <w:rFonts w:ascii="Times New Roman" w:eastAsia="Calibri" w:hAnsi="Times New Roman" w:cs="Times New Roman"/>
          <w:sz w:val="24"/>
          <w:szCs w:val="24"/>
          <w:lang w:val="bg-BG"/>
        </w:rPr>
        <w:t>анализ</w:t>
      </w:r>
      <w:r w:rsidR="009C69FA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на данни от специализиран</w:t>
      </w:r>
      <w:r w:rsidR="00EA2808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фирм</w:t>
      </w:r>
      <w:r w:rsidR="00EA2808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пазарно проучване на труда.</w:t>
      </w:r>
    </w:p>
    <w:p w:rsidR="00640CAD" w:rsidRPr="00640CAD" w:rsidRDefault="00F53D15" w:rsidP="00F53D15">
      <w:pPr>
        <w:numPr>
          <w:ilvl w:val="0"/>
          <w:numId w:val="4"/>
        </w:numPr>
        <w:tabs>
          <w:tab w:val="clear" w:pos="720"/>
          <w:tab w:val="num" w:pos="851"/>
        </w:tabs>
        <w:spacing w:after="12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Получаване (основно чрез Възложителя) и проучване на документи относно прилагани практики за опростени разходи на други страни-членки (Австрия, Унгария, Литва, Латвия, Полша, Словения, Белгия, Обединеното кралство, Италия, Малта и др.)</w:t>
      </w:r>
      <w:r w:rsidRPr="00F53D15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</w:p>
    <w:p w:rsidR="00640CAD" w:rsidRPr="00640CAD" w:rsidRDefault="00F53D15" w:rsidP="00587203">
      <w:pPr>
        <w:pStyle w:val="Heading1"/>
        <w:keepNext/>
        <w:keepLines/>
        <w:numPr>
          <w:ilvl w:val="1"/>
          <w:numId w:val="1"/>
        </w:numPr>
        <w:pBdr>
          <w:top w:val="none" w:sz="0" w:space="0" w:color="auto"/>
        </w:pBdr>
        <w:spacing w:before="0" w:after="120" w:line="276" w:lineRule="auto"/>
        <w:ind w:left="1134" w:hanging="567"/>
        <w:jc w:val="both"/>
        <w:rPr>
          <w:smallCaps/>
          <w:sz w:val="28"/>
          <w:lang w:val="bg-BG"/>
        </w:rPr>
      </w:pPr>
      <w:r w:rsidRPr="006D7CE3">
        <w:rPr>
          <w:sz w:val="28"/>
          <w:szCs w:val="28"/>
          <w:lang w:val="bg-BG"/>
        </w:rPr>
        <w:t>Исторически дан</w:t>
      </w:r>
      <w:r w:rsidR="00AB02AE">
        <w:rPr>
          <w:sz w:val="28"/>
          <w:szCs w:val="28"/>
          <w:lang w:val="bg-BG"/>
        </w:rPr>
        <w:t>ни – източници, качество и обем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b/>
          <w:i/>
          <w:sz w:val="24"/>
          <w:szCs w:val="24"/>
          <w:lang w:val="bg-BG"/>
        </w:rPr>
        <w:t>Бюджети по проекти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>Целта на събирането на историческа информация</w:t>
      </w:r>
      <w:r w:rsidR="009C69FA">
        <w:rPr>
          <w:rFonts w:ascii="Times New Roman" w:hAnsi="Times New Roman" w:cs="Times New Roman"/>
          <w:sz w:val="24"/>
          <w:szCs w:val="24"/>
          <w:lang w:val="bg-BG"/>
        </w:rPr>
        <w:t xml:space="preserve"> чрез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одобрени бюджети по изпълнени проекти на бенефициенти за</w:t>
      </w:r>
      <w:r w:rsidR="009C69F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програмен период 2007-2013 г., е да се използват реални исторически данни на първо ниво „проект/бенефициент” при изчисленията за изготвянето на стандартни таблици с унифицирани ставки за разходи за единица продукт, имащи за цел опростяване на отчитането на разходите по приетите за типични 15 дейности по проекти, финансирани със средства от ЕС. 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 xml:space="preserve">Тази информация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осигурява спазването на основополагащото изискване на Регламент (ЕС) №1303/2013 г. за ясни, обективни, </w:t>
      </w:r>
      <w:proofErr w:type="spellStart"/>
      <w:r w:rsidRPr="00640CAD">
        <w:rPr>
          <w:rFonts w:ascii="Times New Roman" w:hAnsi="Times New Roman" w:cs="Times New Roman"/>
          <w:sz w:val="24"/>
          <w:szCs w:val="24"/>
          <w:lang w:val="bg-BG"/>
        </w:rPr>
        <w:t>проследяеми</w:t>
      </w:r>
      <w:proofErr w:type="spellEnd"/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и документално доказуеми (</w:t>
      </w:r>
      <w:proofErr w:type="spellStart"/>
      <w:r w:rsidRPr="00640CAD">
        <w:rPr>
          <w:rFonts w:ascii="Times New Roman" w:hAnsi="Times New Roman" w:cs="Times New Roman"/>
          <w:sz w:val="24"/>
          <w:szCs w:val="24"/>
          <w:lang w:val="bg-BG"/>
        </w:rPr>
        <w:t>fair</w:t>
      </w:r>
      <w:proofErr w:type="spellEnd"/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40CAD">
        <w:rPr>
          <w:rFonts w:ascii="Times New Roman" w:hAnsi="Times New Roman" w:cs="Times New Roman"/>
          <w:sz w:val="24"/>
          <w:szCs w:val="24"/>
          <w:lang w:val="bg-BG"/>
        </w:rPr>
        <w:t>equitable</w:t>
      </w:r>
      <w:proofErr w:type="spellEnd"/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40CAD">
        <w:rPr>
          <w:rFonts w:ascii="Times New Roman" w:hAnsi="Times New Roman" w:cs="Times New Roman"/>
          <w:sz w:val="24"/>
          <w:szCs w:val="24"/>
          <w:lang w:val="bg-BG"/>
        </w:rPr>
        <w:t>and</w:t>
      </w:r>
      <w:proofErr w:type="spellEnd"/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40CAD">
        <w:rPr>
          <w:rFonts w:ascii="Times New Roman" w:hAnsi="Times New Roman" w:cs="Times New Roman"/>
          <w:sz w:val="24"/>
          <w:szCs w:val="24"/>
          <w:lang w:val="bg-BG"/>
        </w:rPr>
        <w:t>verifiable</w:t>
      </w:r>
      <w:proofErr w:type="spellEnd"/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) изходни данни и изчисления. Допълнително основание е и фактът, че при направеното проучване става видно, че останалите държави-членки, които са ползвали опцията на опростените разходи, обикновено са разработвали своите методологии и изчисления на база исторически данни за </w:t>
      </w:r>
      <w:r w:rsidR="003F6985" w:rsidRPr="00640CAD">
        <w:rPr>
          <w:rFonts w:ascii="Times New Roman" w:hAnsi="Times New Roman" w:cs="Times New Roman"/>
          <w:sz w:val="24"/>
          <w:szCs w:val="24"/>
          <w:lang w:val="bg-BG"/>
        </w:rPr>
        <w:t>пред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>ходни</w:t>
      </w:r>
      <w:r w:rsidR="003F6985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програмни периоди, комбинирани с друга релевантна информация. Аналогичен е подходът и на МЗХ по отношение на тяхната методика за изчисляване на стандартни разходи по Мярка 1 „Трансфер на знания и действия по осведомяване” по Програмата за развитие на селските райони 2014-2020 г.</w:t>
      </w:r>
    </w:p>
    <w:p w:rsidR="00640CAD" w:rsidRPr="00640CAD" w:rsidRDefault="00640CAD" w:rsidP="00640CAD">
      <w:pPr>
        <w:tabs>
          <w:tab w:val="left" w:pos="567"/>
          <w:tab w:val="left" w:pos="709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Събирането на бюджети по проекти бе организирано в три направления: а) чрез УО/МЗ; б) чрез социално-икономическите партньори и други заинтересовани 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>страни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, включително директно чрез бенефициенти; и в) чрез ИСУН.</w:t>
      </w:r>
    </w:p>
    <w:p w:rsidR="00640CAD" w:rsidRPr="00640CAD" w:rsidRDefault="00640CAD" w:rsidP="00640CAD">
      <w:pPr>
        <w:tabs>
          <w:tab w:val="left" w:pos="567"/>
          <w:tab w:val="left" w:pos="709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Искане на информация за предоставяне на исторически данни на ниво бенефициенти по отделните оперативни програми, </w:t>
      </w:r>
      <w:proofErr w:type="spellStart"/>
      <w:r w:rsidRPr="00640CAD">
        <w:rPr>
          <w:rFonts w:ascii="Times New Roman" w:hAnsi="Times New Roman" w:cs="Times New Roman"/>
          <w:sz w:val="24"/>
          <w:szCs w:val="24"/>
          <w:lang w:val="bg-BG"/>
        </w:rPr>
        <w:t>относими</w:t>
      </w:r>
      <w:proofErr w:type="spellEnd"/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към изпълнението на целите на настоящия проект, е поставено още в първото писмо до УО (от м. ноември 2014 г., преди първия кръг проучващи интервюта) и </w:t>
      </w:r>
      <w:proofErr w:type="spellStart"/>
      <w:r w:rsidRPr="0010053C">
        <w:rPr>
          <w:rFonts w:ascii="Times New Roman" w:hAnsi="Times New Roman" w:cs="Times New Roman"/>
          <w:sz w:val="24"/>
          <w:szCs w:val="24"/>
          <w:lang w:val="bg-BG"/>
        </w:rPr>
        <w:t>неколкократно</w:t>
      </w:r>
      <w:proofErr w:type="spellEnd"/>
      <w:r w:rsidRPr="003F6985"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последствие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 xml:space="preserve"> по време на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всички проведени срещи и изпращани писма до различни заинтересовани 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>страни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40CAD" w:rsidRPr="00640CAD" w:rsidRDefault="00640CAD" w:rsidP="00640CAD">
      <w:pPr>
        <w:tabs>
          <w:tab w:val="left" w:pos="567"/>
          <w:tab w:val="left" w:pos="709"/>
        </w:tabs>
        <w:spacing w:after="12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След първия кръг срещи са предоставени общо 130 одобрени бюджети по изпълнени проекти от УО на ОПАК (избрани са по 10 изпълнени проекта от всички 13 схеми на оперативната програма) и 20 бюджета от УО на ОПОС (по ос 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 xml:space="preserve">III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„Биоразнообразие“),</w:t>
      </w:r>
      <w:r w:rsidRPr="00640CAD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като бюджетите включват разходи по дейности, изпълнявани със собствен ресурс и/или разходи за управление на проектите.</w:t>
      </w:r>
    </w:p>
    <w:p w:rsidR="00640CAD" w:rsidRPr="00640CAD" w:rsidRDefault="00640CAD" w:rsidP="00640CAD">
      <w:pPr>
        <w:tabs>
          <w:tab w:val="left" w:pos="567"/>
          <w:tab w:val="left" w:pos="709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При втория кръг срещи и чрез изпратената анкетна карта от всеки УО, СИП и други конкретни бенефициенти 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>отново е поискано</w:t>
      </w:r>
      <w:r w:rsidR="003F6985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 xml:space="preserve">бъдат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предостав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>ени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минимум 30-35 одобрени бюджета по проекти (с подробна разбивка на разходите) за програмен период 2007-2013 г., които да бъдат избрани като типични за оперативната програма, но и същевременно да бъдат представителни за изведените петнадесет типични дейности - поне 50% (до 70 %) да бъдат целенасочено избрани по 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>преценка</w:t>
      </w:r>
      <w:r w:rsidR="003F6985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на УО, а останалите 50% (до 30%) – </w:t>
      </w:r>
      <w:r w:rsidR="003F698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на случаен принцип. Във всеки изпратен бюджет е търсено да се идентифицира типичната дейност и/или дейности, към която/които този бюджет може да бъде </w:t>
      </w:r>
      <w:proofErr w:type="spellStart"/>
      <w:r w:rsidR="003F6985">
        <w:rPr>
          <w:rFonts w:ascii="Times New Roman" w:hAnsi="Times New Roman" w:cs="Times New Roman"/>
          <w:sz w:val="24"/>
          <w:szCs w:val="24"/>
          <w:lang w:val="bg-BG"/>
        </w:rPr>
        <w:t>съотнесен</w:t>
      </w:r>
      <w:proofErr w:type="spellEnd"/>
      <w:r w:rsidR="003F6985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като референтен.</w:t>
      </w:r>
    </w:p>
    <w:p w:rsidR="00F53D15" w:rsidRPr="00F53D15" w:rsidRDefault="00F53D15" w:rsidP="00640CAD">
      <w:pPr>
        <w:tabs>
          <w:tab w:val="left" w:pos="567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Самостоятелно </w:t>
      </w:r>
      <w:r w:rsidR="003F69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ИСУН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бяха извлечени</w:t>
      </w:r>
      <w:r w:rsidR="003F698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33 бюджета по ОПРЧР.</w:t>
      </w:r>
    </w:p>
    <w:p w:rsidR="00F53D15" w:rsidRPr="00F53D15" w:rsidRDefault="00F53D15" w:rsidP="00F53D15">
      <w:pPr>
        <w:tabs>
          <w:tab w:val="left" w:pos="567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3D15">
        <w:rPr>
          <w:rFonts w:ascii="Times New Roman" w:hAnsi="Times New Roman" w:cs="Times New Roman"/>
          <w:sz w:val="24"/>
          <w:szCs w:val="24"/>
          <w:lang w:val="bg-BG"/>
        </w:rPr>
        <w:t>Обобщението за получените бюджети е направено в Приложение №</w:t>
      </w:r>
      <w:r w:rsidR="00C003B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003BF" w:rsidRPr="00117077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117077">
        <w:rPr>
          <w:rFonts w:ascii="Times New Roman" w:hAnsi="Times New Roman" w:cs="Times New Roman"/>
          <w:sz w:val="24"/>
          <w:szCs w:val="24"/>
          <w:lang w:val="bg-BG"/>
        </w:rPr>
        <w:t>. От него е видно, че са получени:</w:t>
      </w:r>
    </w:p>
    <w:p w:rsidR="003F6985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985890">
        <w:rPr>
          <w:rFonts w:cs="Times New Roman"/>
          <w:sz w:val="24"/>
          <w:szCs w:val="24"/>
          <w:lang w:val="bg-BG"/>
        </w:rPr>
        <w:t>31 бр</w:t>
      </w:r>
      <w:r w:rsidRPr="00145616">
        <w:rPr>
          <w:rFonts w:cs="Times New Roman"/>
          <w:sz w:val="24"/>
          <w:szCs w:val="24"/>
          <w:lang w:val="bg-BG"/>
        </w:rPr>
        <w:t>. бюджети, предоставени от МОН (в качеството му на МЗ на ОПРЧР</w:t>
      </w:r>
      <w:r w:rsidR="003F6985">
        <w:rPr>
          <w:rFonts w:cs="Times New Roman"/>
          <w:sz w:val="24"/>
          <w:szCs w:val="24"/>
          <w:lang w:val="bg-BG"/>
        </w:rPr>
        <w:t xml:space="preserve"> 2007 - 2013</w:t>
      </w:r>
      <w:r w:rsidRPr="00145616">
        <w:rPr>
          <w:rFonts w:cs="Times New Roman"/>
          <w:sz w:val="24"/>
          <w:szCs w:val="24"/>
          <w:lang w:val="bg-BG"/>
        </w:rPr>
        <w:t>), съдържащи информация за дейности и възнаграждения</w:t>
      </w:r>
      <w:r w:rsidR="003F6985">
        <w:rPr>
          <w:rFonts w:cs="Times New Roman"/>
          <w:sz w:val="24"/>
          <w:szCs w:val="24"/>
          <w:lang w:val="bg-BG"/>
        </w:rPr>
        <w:t>;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lang w:val="bg-BG"/>
        </w:rPr>
        <w:t>33 бр. бюджети</w:t>
      </w:r>
      <w:r w:rsidR="003F6985">
        <w:rPr>
          <w:rFonts w:cs="Times New Roman"/>
          <w:sz w:val="24"/>
          <w:szCs w:val="24"/>
          <w:lang w:val="bg-BG"/>
        </w:rPr>
        <w:t xml:space="preserve"> по ОПРЧР 2007 – 2013</w:t>
      </w:r>
      <w:r>
        <w:rPr>
          <w:rFonts w:cs="Times New Roman"/>
          <w:sz w:val="24"/>
          <w:szCs w:val="24"/>
          <w:lang w:val="bg-BG"/>
        </w:rPr>
        <w:t>, директно извлечени от екипа на Консултанта</w:t>
      </w:r>
      <w:r w:rsidR="003F6985">
        <w:rPr>
          <w:rFonts w:cs="Times New Roman"/>
          <w:sz w:val="24"/>
          <w:szCs w:val="24"/>
          <w:lang w:val="bg-BG"/>
        </w:rPr>
        <w:t xml:space="preserve"> от ИСУН</w:t>
      </w:r>
      <w:r w:rsidRPr="00145616">
        <w:rPr>
          <w:rFonts w:cs="Times New Roman"/>
          <w:sz w:val="24"/>
          <w:szCs w:val="24"/>
          <w:lang w:val="bg-BG"/>
        </w:rPr>
        <w:t xml:space="preserve">; 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25 бр. бюджети, съдържащи информация за дейности, предоставени от УО на ОПК</w:t>
      </w:r>
      <w:r w:rsidR="00CD34FA">
        <w:rPr>
          <w:rFonts w:cs="Times New Roman"/>
          <w:sz w:val="24"/>
          <w:szCs w:val="24"/>
          <w:lang w:val="bg-BG"/>
        </w:rPr>
        <w:t xml:space="preserve"> 2007 - 2013</w:t>
      </w:r>
      <w:r w:rsidRPr="00145616">
        <w:rPr>
          <w:rFonts w:cs="Times New Roman"/>
          <w:sz w:val="24"/>
          <w:szCs w:val="24"/>
          <w:lang w:val="bg-BG"/>
        </w:rPr>
        <w:t xml:space="preserve">; 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168 бр. бюджети, в частта им разходи за възнаграждения, представени от УО на ОПК</w:t>
      </w:r>
      <w:r w:rsidR="00CD34FA">
        <w:rPr>
          <w:rFonts w:cs="Times New Roman"/>
          <w:sz w:val="24"/>
          <w:szCs w:val="24"/>
          <w:lang w:val="bg-BG"/>
        </w:rPr>
        <w:t xml:space="preserve"> 2007 - 2013</w:t>
      </w:r>
      <w:r w:rsidRPr="00145616">
        <w:rPr>
          <w:rFonts w:cs="Times New Roman"/>
          <w:sz w:val="24"/>
          <w:szCs w:val="24"/>
          <w:lang w:val="bg-BG"/>
        </w:rPr>
        <w:t xml:space="preserve">; 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50 бр. бюджети, в частта им разходи за организация и управление, предоставени от УО на ПРСР</w:t>
      </w:r>
      <w:r w:rsidR="00CD34FA">
        <w:rPr>
          <w:rFonts w:cs="Times New Roman"/>
          <w:sz w:val="24"/>
          <w:szCs w:val="24"/>
          <w:lang w:val="bg-BG"/>
        </w:rPr>
        <w:t xml:space="preserve"> 2007-2013</w:t>
      </w:r>
      <w:r w:rsidRPr="00145616">
        <w:rPr>
          <w:rFonts w:cs="Times New Roman"/>
          <w:sz w:val="24"/>
          <w:szCs w:val="24"/>
          <w:lang w:val="bg-BG"/>
        </w:rPr>
        <w:t xml:space="preserve">; 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20 бр. бюджети, в частта им за възнаграждения, предоставени от УО на ОПОС</w:t>
      </w:r>
      <w:r w:rsidR="00CD34FA">
        <w:rPr>
          <w:rFonts w:cs="Times New Roman"/>
          <w:sz w:val="24"/>
          <w:szCs w:val="24"/>
          <w:lang w:val="bg-BG"/>
        </w:rPr>
        <w:t xml:space="preserve"> 2007 - 2013</w:t>
      </w:r>
      <w:r w:rsidRPr="00145616">
        <w:rPr>
          <w:rFonts w:cs="Times New Roman"/>
          <w:sz w:val="24"/>
          <w:szCs w:val="24"/>
          <w:lang w:val="bg-BG"/>
        </w:rPr>
        <w:t xml:space="preserve">; 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130 бр. бюджети, предоставени от УО на ОПАК</w:t>
      </w:r>
      <w:r w:rsidR="00CD34FA">
        <w:rPr>
          <w:rFonts w:cs="Times New Roman"/>
          <w:sz w:val="24"/>
          <w:szCs w:val="24"/>
          <w:lang w:val="bg-BG"/>
        </w:rPr>
        <w:t xml:space="preserve"> 2007 - 2013</w:t>
      </w:r>
      <w:r w:rsidRPr="00145616">
        <w:rPr>
          <w:rFonts w:cs="Times New Roman"/>
          <w:sz w:val="24"/>
          <w:szCs w:val="24"/>
          <w:lang w:val="bg-BG"/>
        </w:rPr>
        <w:t xml:space="preserve">; 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10 бр. инвестиционни таблици, предоставени от ИАРА (УО на ОПРСР</w:t>
      </w:r>
      <w:r w:rsidR="00CD34FA">
        <w:rPr>
          <w:rFonts w:cs="Times New Roman"/>
          <w:sz w:val="24"/>
          <w:szCs w:val="24"/>
          <w:lang w:val="bg-BG"/>
        </w:rPr>
        <w:t xml:space="preserve"> 2007 -2013</w:t>
      </w:r>
      <w:r w:rsidRPr="00145616">
        <w:rPr>
          <w:rFonts w:cs="Times New Roman"/>
          <w:sz w:val="24"/>
          <w:szCs w:val="24"/>
          <w:lang w:val="bg-BG"/>
        </w:rPr>
        <w:t>);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От УО на ОПРР</w:t>
      </w:r>
      <w:r w:rsidR="00CD34FA">
        <w:rPr>
          <w:rFonts w:cs="Times New Roman"/>
          <w:sz w:val="24"/>
          <w:szCs w:val="24"/>
          <w:lang w:val="bg-BG"/>
        </w:rPr>
        <w:t xml:space="preserve"> 2007-2013</w:t>
      </w:r>
      <w:r w:rsidRPr="00145616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>и от УО (МТСП) на ОПРЧР</w:t>
      </w:r>
      <w:r w:rsidR="00CD34FA">
        <w:rPr>
          <w:rFonts w:cs="Times New Roman"/>
          <w:sz w:val="24"/>
          <w:szCs w:val="24"/>
          <w:lang w:val="bg-BG"/>
        </w:rPr>
        <w:t xml:space="preserve"> 2007 -2013</w:t>
      </w:r>
      <w:r w:rsidRPr="007C29DD">
        <w:rPr>
          <w:rFonts w:cs="Times New Roman"/>
          <w:sz w:val="24"/>
          <w:szCs w:val="24"/>
          <w:lang w:val="bg-BG"/>
        </w:rPr>
        <w:t xml:space="preserve"> </w:t>
      </w:r>
      <w:r w:rsidRPr="00145616">
        <w:rPr>
          <w:rFonts w:cs="Times New Roman"/>
          <w:sz w:val="24"/>
          <w:szCs w:val="24"/>
          <w:lang w:val="bg-BG"/>
        </w:rPr>
        <w:t>не са получени бюджети;</w:t>
      </w:r>
    </w:p>
    <w:p w:rsidR="00F53D15" w:rsidRPr="00145616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От СИП не са получени конкретни бюджети - единствено от Българската стопанска камара (БСК) е получена обобщена информация за разходи за управление по проект</w:t>
      </w:r>
      <w:r w:rsidR="00CD34FA">
        <w:rPr>
          <w:rFonts w:cs="Times New Roman"/>
          <w:sz w:val="24"/>
          <w:szCs w:val="24"/>
          <w:lang w:val="bg-BG"/>
        </w:rPr>
        <w:t>и</w:t>
      </w:r>
      <w:r w:rsidRPr="00145616">
        <w:rPr>
          <w:rFonts w:cs="Times New Roman"/>
          <w:sz w:val="24"/>
          <w:szCs w:val="24"/>
          <w:lang w:val="bg-BG"/>
        </w:rPr>
        <w:t xml:space="preserve"> и разходи за обучения;</w:t>
      </w:r>
    </w:p>
    <w:p w:rsidR="00640CAD" w:rsidRPr="00640CAD" w:rsidRDefault="00F53D15" w:rsidP="00F53D15">
      <w:pPr>
        <w:pStyle w:val="ListParagraph"/>
        <w:numPr>
          <w:ilvl w:val="0"/>
          <w:numId w:val="13"/>
        </w:numPr>
        <w:tabs>
          <w:tab w:val="left" w:pos="567"/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145616">
        <w:rPr>
          <w:rFonts w:cs="Times New Roman"/>
          <w:sz w:val="24"/>
          <w:szCs w:val="24"/>
          <w:lang w:val="bg-BG"/>
        </w:rPr>
        <w:t>От Националния институт на правосъдието (НИП) са предоставени 5 бюджета.</w:t>
      </w:r>
    </w:p>
    <w:p w:rsidR="00640CAD" w:rsidRPr="00640CAD" w:rsidRDefault="00F53D15" w:rsidP="00640CAD">
      <w:pPr>
        <w:tabs>
          <w:tab w:val="left" w:pos="567"/>
          <w:tab w:val="left" w:pos="709"/>
        </w:tabs>
        <w:spacing w:after="12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За улесняване и ускоряване на процеса по събиране на необходимата историческа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информация</w:t>
      </w:r>
      <w:r w:rsidRPr="00F53D1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екипа на консорциума бе предоставен </w:t>
      </w:r>
      <w:r w:rsidR="00CD34FA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пълен </w:t>
      </w:r>
      <w:r w:rsidRPr="00F53D1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достъп до ИСУН. Наличните данни в системата са само на ниво първична информация, т.е. на ниво проект. Получаването на всякаква </w:t>
      </w:r>
      <w:proofErr w:type="spellStart"/>
      <w:r w:rsidRPr="00F53D1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сводирана</w:t>
      </w:r>
      <w:proofErr w:type="spellEnd"/>
      <w:r w:rsidRPr="00F53D1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, аналитично и статистически обработена информация </w:t>
      </w:r>
      <w:r w:rsidR="00CD34FA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е </w:t>
      </w:r>
      <w:r w:rsidRPr="00F53D1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невъзможно, тъй като във функционалността на системата не са заложени справки и отчети със систематизирани данни, които да послужат за </w:t>
      </w:r>
      <w:proofErr w:type="spellStart"/>
      <w:r w:rsidRPr="00F53D1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последващи</w:t>
      </w:r>
      <w:proofErr w:type="spellEnd"/>
      <w:r w:rsidRPr="00F53D1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изследвания и анализи за целите на настоящ</w:t>
      </w:r>
      <w:r w:rsidR="00CD34FA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ата задача. 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Допълнително е проучена и използвана при разработването на методологията, анализите и изчисленията </w:t>
      </w:r>
      <w:r w:rsidRPr="00640CAD">
        <w:rPr>
          <w:rFonts w:ascii="Times New Roman" w:hAnsi="Times New Roman" w:cs="Times New Roman"/>
          <w:color w:val="000000"/>
          <w:sz w:val="24"/>
          <w:szCs w:val="24"/>
          <w:lang w:val="bg-BG"/>
        </w:rPr>
        <w:t>за целите на проекта</w:t>
      </w:r>
      <w:r w:rsidR="00CD34FA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640CAD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и националната нормативната база, която регламентира лимити на компоненти на разходи по идентифицираните 15 типични дейности, както и за дейността по организация и управление на проекти за предходния програмен период 2007-2013 г. - например, </w:t>
      </w:r>
      <w:r w:rsidRPr="00640CAD">
        <w:rPr>
          <w:rStyle w:val="Emphasis"/>
          <w:rFonts w:ascii="Times New Roman" w:hAnsi="Times New Roman" w:cs="Times New Roman"/>
          <w:i w:val="0"/>
          <w:sz w:val="24"/>
          <w:szCs w:val="24"/>
          <w:lang w:val="bg-BG"/>
        </w:rPr>
        <w:t>ПМС</w:t>
      </w:r>
      <w:r w:rsidRPr="00640CAD">
        <w:rPr>
          <w:rStyle w:val="st"/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640CAD">
        <w:rPr>
          <w:rStyle w:val="st"/>
          <w:rFonts w:ascii="Times New Roman" w:hAnsi="Times New Roman" w:cs="Times New Roman"/>
          <w:sz w:val="24"/>
          <w:szCs w:val="24"/>
          <w:lang w:val="bg-BG"/>
        </w:rPr>
        <w:t xml:space="preserve">№62 от 21.03.2007 г. за приемане на национални правила за </w:t>
      </w:r>
      <w:r w:rsidRPr="00640CAD">
        <w:rPr>
          <w:rStyle w:val="Emphasis"/>
          <w:rFonts w:ascii="Times New Roman" w:hAnsi="Times New Roman" w:cs="Times New Roman"/>
          <w:sz w:val="24"/>
          <w:szCs w:val="24"/>
          <w:lang w:val="bg-BG"/>
        </w:rPr>
        <w:t>допустимост</w:t>
      </w:r>
      <w:r w:rsidRPr="00640CAD">
        <w:rPr>
          <w:rStyle w:val="st"/>
          <w:rFonts w:ascii="Times New Roman" w:hAnsi="Times New Roman" w:cs="Times New Roman"/>
          <w:sz w:val="24"/>
          <w:szCs w:val="24"/>
          <w:lang w:val="bg-BG"/>
        </w:rPr>
        <w:t xml:space="preserve"> на разходите по оперативните програми, както и постановленията, приети конкретно за всяка </w:t>
      </w:r>
      <w:r w:rsidRPr="00640CAD">
        <w:rPr>
          <w:rFonts w:ascii="Times New Roman" w:hAnsi="Times New Roman" w:cs="Times New Roman"/>
          <w:color w:val="000000"/>
          <w:sz w:val="24"/>
          <w:szCs w:val="24"/>
          <w:lang w:val="bg-BG"/>
        </w:rPr>
        <w:t>оперативна програма.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b/>
          <w:i/>
          <w:sz w:val="24"/>
          <w:szCs w:val="24"/>
          <w:lang w:val="bg-BG"/>
        </w:rPr>
        <w:t>Анкетно проучване сред УО и СИП</w:t>
      </w:r>
    </w:p>
    <w:p w:rsidR="00640CAD" w:rsidRPr="00640CAD" w:rsidRDefault="00590595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>ажен инструмент на изследванет</w:t>
      </w:r>
      <w:r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2434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bg-BG"/>
        </w:rPr>
        <w:t>извършеното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анкетно проучване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чрез 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>специалн</w:t>
      </w:r>
      <w:r>
        <w:rPr>
          <w:rFonts w:ascii="Times New Roman" w:hAnsi="Times New Roman" w:cs="Times New Roman"/>
          <w:sz w:val="24"/>
          <w:szCs w:val="24"/>
          <w:lang w:val="bg-BG"/>
        </w:rPr>
        <w:t>о разработена за целите на задачата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анкетна карта, в която намират отражение основните констатации, бележки и заключения 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проведените срещи-обсъждания и други проучвания (вж. Приложение №</w:t>
      </w:r>
      <w:r w:rsidR="00D04D60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). Основната цел на анкетната карта е </w:t>
      </w:r>
      <w:r>
        <w:rPr>
          <w:rFonts w:ascii="Times New Roman" w:hAnsi="Times New Roman" w:cs="Times New Roman"/>
          <w:sz w:val="24"/>
          <w:szCs w:val="24"/>
          <w:lang w:val="bg-BG"/>
        </w:rPr>
        <w:t>да</w:t>
      </w:r>
      <w:r w:rsidR="00E32CC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събере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40CAD"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информация, която да</w:t>
      </w:r>
      <w:r w:rsidR="00456C4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640CAD"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подпом</w:t>
      </w:r>
      <w:r w:rsidR="00456C4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огне </w:t>
      </w:r>
      <w:r w:rsidR="00640CAD"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процеса по определяне на разумни унифицирани ставки за разходите за 15 типични дейности, изпълнявани със собствени ресурси от бенефициентите по проекти, финансирани със средства от ЕС, и дейността по организация и управление. Поради тази причина</w:t>
      </w:r>
      <w:r w:rsidR="00456C45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="00640CAD"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съдържателно отношение тя е разработена така, че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да постигне </w:t>
      </w:r>
      <w:r w:rsidR="00447B51">
        <w:rPr>
          <w:rFonts w:ascii="Times New Roman" w:hAnsi="Times New Roman" w:cs="Times New Roman"/>
          <w:sz w:val="24"/>
          <w:szCs w:val="24"/>
          <w:lang w:val="bg-BG"/>
        </w:rPr>
        <w:t xml:space="preserve">следните </w:t>
      </w:r>
      <w:r w:rsidR="0010053C">
        <w:rPr>
          <w:rFonts w:ascii="Times New Roman" w:hAnsi="Times New Roman" w:cs="Times New Roman"/>
          <w:sz w:val="24"/>
          <w:szCs w:val="24"/>
          <w:lang w:val="bg-BG"/>
        </w:rPr>
        <w:t>задачи</w:t>
      </w:r>
      <w:r w:rsidR="00447B51">
        <w:rPr>
          <w:rFonts w:ascii="Times New Roman" w:hAnsi="Times New Roman" w:cs="Times New Roman"/>
          <w:sz w:val="24"/>
          <w:szCs w:val="24"/>
          <w:lang w:val="bg-BG"/>
        </w:rPr>
        <w:t xml:space="preserve"> на изследването: </w:t>
      </w:r>
    </w:p>
    <w:p w:rsidR="00640CAD" w:rsidRPr="00640CAD" w:rsidRDefault="00640CAD" w:rsidP="00640CAD">
      <w:pPr>
        <w:numPr>
          <w:ilvl w:val="0"/>
          <w:numId w:val="4"/>
        </w:numPr>
        <w:tabs>
          <w:tab w:val="clear" w:pos="720"/>
          <w:tab w:val="num" w:pos="851"/>
        </w:tabs>
        <w:spacing w:after="12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Прецизиране и потвърждаване на дефиницията и обхвата на идентифицираните 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като типични 15 дейности и на дейността по организация и управление, вкл. кои от тях се възприемат като </w:t>
      </w:r>
      <w:r w:rsidRPr="00640CAD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приоритетни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дадена оперативна програма 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от съответния управляващ орган/друг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заинтересован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>страна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640CAD" w:rsidRPr="00640CAD" w:rsidRDefault="00640CAD" w:rsidP="00640CAD">
      <w:pPr>
        <w:numPr>
          <w:ilvl w:val="0"/>
          <w:numId w:val="4"/>
        </w:numPr>
        <w:tabs>
          <w:tab w:val="clear" w:pos="720"/>
          <w:tab w:val="num" w:pos="851"/>
        </w:tabs>
        <w:spacing w:after="12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Проучване на различните възможности и критерии за обособяване на под-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15-те типични дейности най-вече през призмата удобството за наблюдение, контрол и отчетност за УО и бенефициент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но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претеглено през чувствителността на унифицирани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ставки спрямо даден фактор, както и 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съобразно 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наличната 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изходна 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информация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която позволява 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аналитични разрези и изчисления. Извличане на информация кои дейности и </w:t>
      </w:r>
      <w:proofErr w:type="spellStart"/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>поддейности</w:t>
      </w:r>
      <w:proofErr w:type="spellEnd"/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се възприемат като </w:t>
      </w:r>
      <w:r w:rsidRPr="00640CAD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приоритетни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съответния управляващ орган/друг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заинтересован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>страна</w:t>
      </w:r>
      <w:r w:rsidR="00447B51"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стандартизиране и </w:t>
      </w:r>
      <w:r w:rsidR="00447B51">
        <w:rPr>
          <w:rFonts w:ascii="Times New Roman" w:eastAsia="Calibri" w:hAnsi="Times New Roman" w:cs="Times New Roman"/>
          <w:sz w:val="24"/>
          <w:szCs w:val="24"/>
          <w:lang w:val="bg-BG"/>
        </w:rPr>
        <w:t>прилагане на</w:t>
      </w:r>
      <w:r w:rsidRPr="00640CA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опциите за опростено ценообразуване;</w:t>
      </w:r>
    </w:p>
    <w:p w:rsidR="00640CAD" w:rsidRPr="00640CAD" w:rsidRDefault="00640CAD" w:rsidP="00640CAD">
      <w:pPr>
        <w:pStyle w:val="ListParagraph"/>
        <w:numPr>
          <w:ilvl w:val="0"/>
          <w:numId w:val="3"/>
        </w:numPr>
        <w:tabs>
          <w:tab w:val="num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Прецизиране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на </w:t>
      </w:r>
      <w:r w:rsidR="00447B51">
        <w:rPr>
          <w:rFonts w:eastAsia="Calibri" w:cs="Times New Roman"/>
          <w:sz w:val="24"/>
          <w:szCs w:val="24"/>
          <w:lang w:val="bg-BG"/>
        </w:rPr>
        <w:t xml:space="preserve">списъка с 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експерти от собствения персонал, </w:t>
      </w:r>
      <w:r w:rsidR="00447B51">
        <w:rPr>
          <w:rFonts w:eastAsia="Calibri" w:cs="Times New Roman"/>
          <w:sz w:val="24"/>
          <w:szCs w:val="24"/>
          <w:lang w:val="bg-BG"/>
        </w:rPr>
        <w:t xml:space="preserve">които участват в изпълнението на </w:t>
      </w:r>
      <w:r w:rsidRPr="00640CAD">
        <w:rPr>
          <w:rFonts w:eastAsia="Calibri" w:cs="Times New Roman"/>
          <w:sz w:val="24"/>
          <w:szCs w:val="24"/>
          <w:lang w:val="bg-BG"/>
        </w:rPr>
        <w:t>тези 15 типични дейности и дейността по организация и управление, включително степента на детайлност, най-вече през призмата удобството за наблюдение, контрол и отчетност за УО и бенефициент</w:t>
      </w:r>
      <w:r w:rsidR="00447B51">
        <w:rPr>
          <w:rFonts w:eastAsia="Calibri" w:cs="Times New Roman"/>
          <w:sz w:val="24"/>
          <w:szCs w:val="24"/>
          <w:lang w:val="bg-BG"/>
        </w:rPr>
        <w:t xml:space="preserve">, 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но и претеглено през чувствителността на унифицираните часови ставки спрямо даден фактор, както и през наличната </w:t>
      </w:r>
      <w:r w:rsidR="00447B51">
        <w:rPr>
          <w:rFonts w:eastAsia="Calibri" w:cs="Times New Roman"/>
          <w:sz w:val="24"/>
          <w:szCs w:val="24"/>
          <w:lang w:val="bg-BG"/>
        </w:rPr>
        <w:t xml:space="preserve">изходна </w:t>
      </w:r>
      <w:r w:rsidRPr="00640CAD">
        <w:rPr>
          <w:rFonts w:eastAsia="Calibri" w:cs="Times New Roman"/>
          <w:sz w:val="24"/>
          <w:szCs w:val="24"/>
          <w:lang w:val="bg-BG"/>
        </w:rPr>
        <w:t>информация</w:t>
      </w:r>
      <w:r w:rsidR="00447B51">
        <w:rPr>
          <w:rFonts w:eastAsia="Calibri" w:cs="Times New Roman"/>
          <w:sz w:val="24"/>
          <w:szCs w:val="24"/>
          <w:lang w:val="bg-BG"/>
        </w:rPr>
        <w:t xml:space="preserve">, позволяваща 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аналитични разрези и изчисления. Извличане на информация кои </w:t>
      </w:r>
      <w:r w:rsidR="00447B51">
        <w:rPr>
          <w:rFonts w:eastAsia="Calibri" w:cs="Times New Roman"/>
          <w:sz w:val="24"/>
          <w:szCs w:val="24"/>
          <w:lang w:val="bg-BG"/>
        </w:rPr>
        <w:t xml:space="preserve">от експертните позиции 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се възприемат </w:t>
      </w:r>
      <w:r w:rsidR="00447B51">
        <w:rPr>
          <w:rFonts w:eastAsia="Calibri" w:cs="Times New Roman"/>
          <w:sz w:val="24"/>
          <w:szCs w:val="24"/>
          <w:lang w:val="bg-BG"/>
        </w:rPr>
        <w:t>за</w:t>
      </w:r>
      <w:r w:rsidR="00447B51" w:rsidRPr="00640CAD">
        <w:rPr>
          <w:rFonts w:eastAsia="Calibri" w:cs="Times New Roman"/>
          <w:sz w:val="24"/>
          <w:szCs w:val="24"/>
          <w:lang w:val="bg-BG"/>
        </w:rPr>
        <w:t xml:space="preserve"> </w:t>
      </w:r>
      <w:r w:rsidRPr="00640CAD">
        <w:rPr>
          <w:rFonts w:eastAsia="Calibri" w:cs="Times New Roman"/>
          <w:sz w:val="24"/>
          <w:szCs w:val="24"/>
          <w:u w:val="single"/>
          <w:lang w:val="bg-BG"/>
        </w:rPr>
        <w:t>приоритетни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от съответния управляващ орган/друг</w:t>
      </w:r>
      <w:r w:rsidR="00447B51">
        <w:rPr>
          <w:rFonts w:eastAsia="Calibri" w:cs="Times New Roman"/>
          <w:sz w:val="24"/>
          <w:szCs w:val="24"/>
          <w:lang w:val="bg-BG"/>
        </w:rPr>
        <w:t>а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заинтересован</w:t>
      </w:r>
      <w:r w:rsidR="00447B51">
        <w:rPr>
          <w:rFonts w:eastAsia="Calibri" w:cs="Times New Roman"/>
          <w:sz w:val="24"/>
          <w:szCs w:val="24"/>
          <w:lang w:val="bg-BG"/>
        </w:rPr>
        <w:t>а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</w:t>
      </w:r>
      <w:r w:rsidR="00447B51">
        <w:rPr>
          <w:rFonts w:eastAsia="Calibri" w:cs="Times New Roman"/>
          <w:sz w:val="24"/>
          <w:szCs w:val="24"/>
          <w:lang w:val="bg-BG"/>
        </w:rPr>
        <w:t>страна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</w:t>
      </w:r>
      <w:r w:rsidR="00447B51">
        <w:rPr>
          <w:rFonts w:eastAsia="Calibri" w:cs="Times New Roman"/>
          <w:sz w:val="24"/>
          <w:szCs w:val="24"/>
          <w:lang w:val="bg-BG"/>
        </w:rPr>
        <w:t xml:space="preserve">като подходящи 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за стандартизиране и </w:t>
      </w:r>
      <w:r w:rsidR="00447B51">
        <w:rPr>
          <w:rFonts w:eastAsia="Calibri" w:cs="Times New Roman"/>
          <w:sz w:val="24"/>
          <w:szCs w:val="24"/>
          <w:lang w:val="bg-BG"/>
        </w:rPr>
        <w:t>въвеждане</w:t>
      </w:r>
      <w:r w:rsidR="00447B51" w:rsidRPr="00640CAD">
        <w:rPr>
          <w:rFonts w:eastAsia="Calibri" w:cs="Times New Roman"/>
          <w:sz w:val="24"/>
          <w:szCs w:val="24"/>
          <w:lang w:val="bg-BG"/>
        </w:rPr>
        <w:t xml:space="preserve"> </w:t>
      </w:r>
      <w:r w:rsidRPr="00640CAD">
        <w:rPr>
          <w:rFonts w:eastAsia="Calibri" w:cs="Times New Roman"/>
          <w:sz w:val="24"/>
          <w:szCs w:val="24"/>
          <w:lang w:val="bg-BG"/>
        </w:rPr>
        <w:t>на опциите за опростено ценообразуване;</w:t>
      </w:r>
    </w:p>
    <w:p w:rsidR="00640CAD" w:rsidRPr="00640CAD" w:rsidRDefault="00640CAD" w:rsidP="00640CAD">
      <w:pPr>
        <w:pStyle w:val="ListParagraph"/>
        <w:numPr>
          <w:ilvl w:val="0"/>
          <w:numId w:val="3"/>
        </w:numPr>
        <w:tabs>
          <w:tab w:val="num" w:pos="851"/>
        </w:tabs>
        <w:spacing w:after="120"/>
        <w:ind w:left="851" w:hanging="284"/>
        <w:contextualSpacing w:val="0"/>
        <w:jc w:val="both"/>
        <w:rPr>
          <w:rFonts w:eastAsia="Calibri" w:cs="Times New Roman"/>
          <w:sz w:val="24"/>
          <w:szCs w:val="24"/>
          <w:lang w:val="bg-BG"/>
        </w:rPr>
      </w:pPr>
      <w:r w:rsidRPr="00640CAD">
        <w:rPr>
          <w:rFonts w:eastAsia="Calibri" w:cs="Times New Roman"/>
          <w:sz w:val="24"/>
          <w:szCs w:val="24"/>
          <w:lang w:val="bg-BG"/>
        </w:rPr>
        <w:t xml:space="preserve">Прецизиране на </w:t>
      </w:r>
      <w:proofErr w:type="spellStart"/>
      <w:r w:rsidRPr="00640CAD">
        <w:rPr>
          <w:rFonts w:eastAsia="Calibri" w:cs="Times New Roman"/>
          <w:sz w:val="24"/>
          <w:szCs w:val="24"/>
          <w:lang w:val="bg-BG"/>
        </w:rPr>
        <w:t>калкулационните</w:t>
      </w:r>
      <w:proofErr w:type="spellEnd"/>
      <w:r w:rsidRPr="00640CAD">
        <w:rPr>
          <w:rFonts w:eastAsia="Calibri" w:cs="Times New Roman"/>
          <w:sz w:val="24"/>
          <w:szCs w:val="24"/>
          <w:lang w:val="bg-BG"/>
        </w:rPr>
        <w:t xml:space="preserve"> единици за изчисляването на унифицирани стандартни ставки по дейности – най-вече през призмата удобството за наблюдение, контрол и отчетност за УО и бенефициент (реално постигане на опростяване), претеглено и през </w:t>
      </w:r>
      <w:r w:rsidR="00447B51">
        <w:rPr>
          <w:rFonts w:eastAsia="Calibri" w:cs="Times New Roman"/>
          <w:sz w:val="24"/>
          <w:szCs w:val="24"/>
          <w:lang w:val="bg-BG"/>
        </w:rPr>
        <w:t xml:space="preserve">обективно </w:t>
      </w:r>
      <w:r w:rsidRPr="00640CAD">
        <w:rPr>
          <w:rFonts w:eastAsia="Calibri" w:cs="Times New Roman"/>
          <w:sz w:val="24"/>
          <w:szCs w:val="24"/>
          <w:lang w:val="bg-BG"/>
        </w:rPr>
        <w:t>наличната информация за изчисления. Извличане на информация кои</w:t>
      </w:r>
      <w:r w:rsidR="00447B51">
        <w:rPr>
          <w:rFonts w:eastAsia="Calibri" w:cs="Times New Roman"/>
          <w:sz w:val="24"/>
          <w:szCs w:val="24"/>
          <w:lang w:val="bg-BG"/>
        </w:rPr>
        <w:t xml:space="preserve"> от тях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се възприемат като </w:t>
      </w:r>
      <w:r w:rsidRPr="00640CAD">
        <w:rPr>
          <w:rFonts w:eastAsia="Calibri" w:cs="Times New Roman"/>
          <w:sz w:val="24"/>
          <w:szCs w:val="24"/>
          <w:u w:val="single"/>
          <w:lang w:val="bg-BG"/>
        </w:rPr>
        <w:t>удачни и желани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от съответния управляващ орган/друг</w:t>
      </w:r>
      <w:r w:rsidR="00447B51">
        <w:rPr>
          <w:rFonts w:eastAsia="Calibri" w:cs="Times New Roman"/>
          <w:sz w:val="24"/>
          <w:szCs w:val="24"/>
          <w:lang w:val="bg-BG"/>
        </w:rPr>
        <w:t>а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заинтересован</w:t>
      </w:r>
      <w:r w:rsidR="00447B51">
        <w:rPr>
          <w:rFonts w:eastAsia="Calibri" w:cs="Times New Roman"/>
          <w:sz w:val="24"/>
          <w:szCs w:val="24"/>
          <w:lang w:val="bg-BG"/>
        </w:rPr>
        <w:t>а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</w:t>
      </w:r>
      <w:r w:rsidR="00447B51">
        <w:rPr>
          <w:rFonts w:eastAsia="Calibri" w:cs="Times New Roman"/>
          <w:sz w:val="24"/>
          <w:szCs w:val="24"/>
          <w:lang w:val="bg-BG"/>
        </w:rPr>
        <w:t>страна</w:t>
      </w:r>
      <w:r w:rsidRPr="00640CAD">
        <w:rPr>
          <w:rFonts w:eastAsia="Calibri" w:cs="Times New Roman"/>
          <w:sz w:val="24"/>
          <w:szCs w:val="24"/>
          <w:lang w:val="bg-BG"/>
        </w:rPr>
        <w:t>;</w:t>
      </w:r>
    </w:p>
    <w:p w:rsidR="00640CAD" w:rsidRPr="00640CAD" w:rsidRDefault="00640CAD" w:rsidP="00640CAD">
      <w:pPr>
        <w:pStyle w:val="ListParagraph"/>
        <w:numPr>
          <w:ilvl w:val="0"/>
          <w:numId w:val="3"/>
        </w:numPr>
        <w:tabs>
          <w:tab w:val="num" w:pos="851"/>
        </w:tabs>
        <w:spacing w:after="120"/>
        <w:ind w:left="851" w:hanging="284"/>
        <w:contextualSpacing w:val="0"/>
        <w:jc w:val="both"/>
        <w:rPr>
          <w:rFonts w:eastAsia="Calibri" w:cs="Times New Roman"/>
          <w:sz w:val="24"/>
          <w:szCs w:val="24"/>
          <w:u w:val="single"/>
          <w:lang w:val="bg-BG"/>
        </w:rPr>
      </w:pPr>
      <w:r w:rsidRPr="00640CAD">
        <w:rPr>
          <w:rFonts w:eastAsia="Calibri" w:cs="Times New Roman"/>
          <w:sz w:val="24"/>
          <w:szCs w:val="24"/>
          <w:lang w:val="bg-BG"/>
        </w:rPr>
        <w:t>Проучване и потвърждение на историческия опит и практика</w:t>
      </w:r>
      <w:r w:rsidR="005E4E45">
        <w:rPr>
          <w:rFonts w:eastAsia="Calibri" w:cs="Times New Roman"/>
          <w:sz w:val="24"/>
          <w:szCs w:val="24"/>
          <w:lang w:val="bg-BG"/>
        </w:rPr>
        <w:t>та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за наблюдение, контрол и анализ</w:t>
      </w:r>
      <w:r w:rsidR="005E4E45">
        <w:rPr>
          <w:rFonts w:eastAsia="Calibri" w:cs="Times New Roman"/>
          <w:sz w:val="24"/>
          <w:szCs w:val="24"/>
          <w:lang w:val="bg-BG"/>
        </w:rPr>
        <w:t xml:space="preserve"> на </w:t>
      </w:r>
      <w:r w:rsidR="005E4E45" w:rsidRPr="00640CAD">
        <w:rPr>
          <w:rFonts w:eastAsia="Calibri" w:cs="Times New Roman"/>
          <w:sz w:val="24"/>
          <w:szCs w:val="24"/>
          <w:lang w:val="bg-BG"/>
        </w:rPr>
        <w:t>реализираните проекти по съответните оперативни програми</w:t>
      </w:r>
      <w:r w:rsidR="005E4E45">
        <w:rPr>
          <w:rFonts w:eastAsia="Calibri" w:cs="Times New Roman"/>
          <w:sz w:val="24"/>
          <w:szCs w:val="24"/>
          <w:lang w:val="bg-BG"/>
        </w:rPr>
        <w:t xml:space="preserve">, осъществявани от </w:t>
      </w:r>
      <w:r w:rsidRPr="00640CAD">
        <w:rPr>
          <w:rFonts w:eastAsia="Calibri" w:cs="Times New Roman"/>
          <w:sz w:val="24"/>
          <w:szCs w:val="24"/>
          <w:lang w:val="bg-BG"/>
        </w:rPr>
        <w:t>управляващите органи и социално-икономическите партньори за пред</w:t>
      </w:r>
      <w:r w:rsidR="005E4E45">
        <w:rPr>
          <w:rFonts w:eastAsia="Calibri" w:cs="Times New Roman"/>
          <w:sz w:val="24"/>
          <w:szCs w:val="24"/>
          <w:lang w:val="bg-BG"/>
        </w:rPr>
        <w:t>ходния</w:t>
      </w:r>
      <w:r w:rsidRPr="00640CAD">
        <w:rPr>
          <w:rFonts w:eastAsia="Calibri" w:cs="Times New Roman"/>
          <w:sz w:val="24"/>
          <w:szCs w:val="24"/>
          <w:lang w:val="bg-BG"/>
        </w:rPr>
        <w:t xml:space="preserve"> програмен период 2007-2013 г. – извеждане на ключови показатели, поддържане на определена систематизирана синтетична информация и отчети, поддържане на статистическа информация и анализи в различни разрези и др.;</w:t>
      </w:r>
    </w:p>
    <w:p w:rsidR="00640CAD" w:rsidRPr="00640CAD" w:rsidRDefault="00640CAD" w:rsidP="00640CAD">
      <w:pPr>
        <w:pStyle w:val="ListParagraph"/>
        <w:numPr>
          <w:ilvl w:val="0"/>
          <w:numId w:val="3"/>
        </w:numPr>
        <w:tabs>
          <w:tab w:val="num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eastAsia="Calibri" w:cs="Times New Roman"/>
          <w:sz w:val="24"/>
          <w:szCs w:val="24"/>
          <w:lang w:val="bg-BG"/>
        </w:rPr>
        <w:t xml:space="preserve">Набиране на ясна, </w:t>
      </w:r>
      <w:proofErr w:type="spellStart"/>
      <w:r w:rsidRPr="00640CAD">
        <w:rPr>
          <w:rFonts w:eastAsia="Calibri" w:cs="Times New Roman"/>
          <w:sz w:val="24"/>
          <w:szCs w:val="24"/>
          <w:lang w:val="bg-BG"/>
        </w:rPr>
        <w:t>проследяема</w:t>
      </w:r>
      <w:proofErr w:type="spellEnd"/>
      <w:r w:rsidRPr="00640CAD">
        <w:rPr>
          <w:rFonts w:eastAsia="Calibri" w:cs="Times New Roman"/>
          <w:sz w:val="24"/>
          <w:szCs w:val="24"/>
          <w:lang w:val="bg-BG"/>
        </w:rPr>
        <w:t xml:space="preserve"> и доказуема обективна информация, която да послужи при изчисленията за определяне на унифицираните ставки за отделните разходи при 15-те типа дейности.</w:t>
      </w:r>
    </w:p>
    <w:p w:rsidR="00F53D15" w:rsidRDefault="00F53D15" w:rsidP="00640CAD">
      <w:pPr>
        <w:spacing w:after="12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Самата анкетна карта включва 124 въпроса от отворен, затворен и смесен тип, групирани по 15-те типични дейности. Допълнително, на анкетирания е предоставена възможност да изрази мнение и критични бележки за всяка дейност, както и да </w:t>
      </w:r>
      <w:r w:rsidR="005E4E45">
        <w:rPr>
          <w:rFonts w:ascii="Times New Roman" w:eastAsia="Calibri" w:hAnsi="Times New Roman" w:cs="Times New Roman"/>
          <w:sz w:val="24"/>
          <w:szCs w:val="24"/>
          <w:lang w:val="bg-BG"/>
        </w:rPr>
        <w:t>предостави</w:t>
      </w:r>
      <w:r w:rsidR="005E4E45"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препоръки и предложения както относно самите дейности (доколко те са коректно идентифицирани и дефинирани като обхват), така и за определянето на унифицирани ставки (техния вид и начина на калкулирането им).</w:t>
      </w:r>
    </w:p>
    <w:p w:rsidR="00640CAD" w:rsidRPr="00640CAD" w:rsidRDefault="00F53D15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3D15">
        <w:rPr>
          <w:rFonts w:ascii="Times New Roman" w:eastAsia="Calibri" w:hAnsi="Times New Roman" w:cs="Times New Roman"/>
          <w:sz w:val="24"/>
          <w:szCs w:val="24"/>
          <w:lang w:val="bg-BG"/>
        </w:rPr>
        <w:t>Анкетната карта е изпратена до всички управляващи органи и социално-икономически партньори. Първоначално са получени само частично попълнени анкетни карти. В последствие, за да се подпомогне процеса на коректното им попълване, до всички адресати на анкетните карти са изпратени специални писма с индивидуално насочени към конкретния адресат указания.</w:t>
      </w:r>
      <w:r w:rsidR="00640CAD"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>Обобщение на резултатите от отговорите от анкетното проучване е представено в Приложение №3</w:t>
      </w:r>
      <w:r w:rsidR="00170978">
        <w:rPr>
          <w:rFonts w:ascii="Times New Roman" w:hAnsi="Times New Roman" w:cs="Times New Roman"/>
          <w:sz w:val="24"/>
          <w:szCs w:val="24"/>
          <w:lang w:val="bg-BG"/>
        </w:rPr>
        <w:t xml:space="preserve"> от основния документ</w:t>
      </w:r>
      <w:r w:rsidRPr="00640CA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40CAD" w:rsidRPr="00640CAD" w:rsidRDefault="00640CAD" w:rsidP="00640CAD">
      <w:pPr>
        <w:spacing w:after="12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b/>
          <w:i/>
          <w:sz w:val="24"/>
          <w:szCs w:val="24"/>
          <w:lang w:val="bg-BG"/>
        </w:rPr>
        <w:t>Анкетно проучване сред бенефициенти по проекти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>Допълнително, по електронен път, е направено проучване и на мнението на бенефициентите по оперативните програми за програмен период 2007-2013 г. и потенциални кандидати по оперативните програми за програмен период 2014-2020 г.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В проведеното анкетно проучване се включват 52 </w:t>
      </w:r>
      <w:proofErr w:type="spellStart"/>
      <w:r w:rsidRPr="00640CAD">
        <w:rPr>
          <w:rFonts w:ascii="Times New Roman" w:hAnsi="Times New Roman" w:cs="Times New Roman"/>
          <w:sz w:val="24"/>
          <w:szCs w:val="24"/>
          <w:lang w:val="bg-BG"/>
        </w:rPr>
        <w:t>респондента</w:t>
      </w:r>
      <w:proofErr w:type="spellEnd"/>
      <w:r w:rsidRPr="00640CAD">
        <w:rPr>
          <w:rFonts w:ascii="Times New Roman" w:hAnsi="Times New Roman" w:cs="Times New Roman"/>
          <w:sz w:val="24"/>
          <w:szCs w:val="24"/>
          <w:lang w:val="bg-BG"/>
        </w:rPr>
        <w:t>, представители на различни типове бенефициенти за програмен период 2007-2013 г., сред които: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Централна администрация на изпълнителната власт – 25% от анкетираните;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Областна администрация – 23% от анкетираните;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Община от агломерационен ареал - 13% от анкетираните;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Община извън агломерационен ареал - 10% от анкетираните;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Юридическо лице, регистрирано по Закона за търговския регистър - 4% от анкетираните;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Юридическо лице, регистрирано по ЗЮЛНЦ - 4% от анкетираните;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Юридическо лице, регистрирано по Закона за висшето образование - 0% от анкетираните;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Юридическо лице, регистрирано по Закона за народната просвета - 2% от анкетираните</w:t>
      </w:r>
    </w:p>
    <w:p w:rsidR="00640CAD" w:rsidRPr="00640CAD" w:rsidRDefault="00640CAD" w:rsidP="00640CAD">
      <w:pPr>
        <w:pStyle w:val="ListParagraph"/>
        <w:numPr>
          <w:ilvl w:val="1"/>
          <w:numId w:val="2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Други - 19% от анкетираните.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Най-голям е процентът на </w:t>
      </w:r>
      <w:proofErr w:type="spellStart"/>
      <w:r w:rsidRPr="00640CAD">
        <w:rPr>
          <w:rFonts w:ascii="Times New Roman" w:hAnsi="Times New Roman" w:cs="Times New Roman"/>
          <w:sz w:val="24"/>
          <w:szCs w:val="24"/>
          <w:lang w:val="bg-BG"/>
        </w:rPr>
        <w:t>респондентите</w:t>
      </w:r>
      <w:proofErr w:type="spellEnd"/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, които са бенефициенти по ОП „Административен капацитет“, ОП „Околна среда“, ОП „Развитие на човешките ресурси“ и ОП „Регионално развитие“. </w:t>
      </w:r>
    </w:p>
    <w:p w:rsidR="00640CAD" w:rsidRPr="00640CAD" w:rsidRDefault="00640CAD" w:rsidP="00640CAD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 xml:space="preserve">Анкетната карта е разработена в две направления: </w:t>
      </w:r>
    </w:p>
    <w:p w:rsidR="00640CAD" w:rsidRPr="00640CAD" w:rsidRDefault="00640CAD" w:rsidP="00640CAD">
      <w:pPr>
        <w:pStyle w:val="ListParagraph"/>
        <w:numPr>
          <w:ilvl w:val="0"/>
          <w:numId w:val="6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 xml:space="preserve">запитване относно </w:t>
      </w:r>
      <w:proofErr w:type="spellStart"/>
      <w:r w:rsidRPr="00640CAD">
        <w:rPr>
          <w:rFonts w:cs="Times New Roman"/>
          <w:sz w:val="24"/>
          <w:szCs w:val="24"/>
          <w:lang w:val="bg-BG"/>
        </w:rPr>
        <w:t>релевантност</w:t>
      </w:r>
      <w:proofErr w:type="spellEnd"/>
      <w:r w:rsidRPr="00640CAD">
        <w:rPr>
          <w:rFonts w:cs="Times New Roman"/>
          <w:sz w:val="24"/>
          <w:szCs w:val="24"/>
          <w:lang w:val="bg-BG"/>
        </w:rPr>
        <w:t xml:space="preserve"> и коректност на обхвата на идентифицираните типични дейности и на разходите за организация и управление;</w:t>
      </w:r>
    </w:p>
    <w:p w:rsidR="00640CAD" w:rsidRPr="00640CAD" w:rsidRDefault="00640CAD" w:rsidP="00640CAD">
      <w:pPr>
        <w:pStyle w:val="ListParagraph"/>
        <w:numPr>
          <w:ilvl w:val="0"/>
          <w:numId w:val="6"/>
        </w:numPr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640CAD">
        <w:rPr>
          <w:rFonts w:cs="Times New Roman"/>
          <w:sz w:val="24"/>
          <w:szCs w:val="24"/>
          <w:lang w:val="bg-BG"/>
        </w:rPr>
        <w:t>запитване относно предпочитан вариант на остойностяване на идентифицираните типични дейности и на разходите за организация и управление.</w:t>
      </w:r>
    </w:p>
    <w:p w:rsidR="00640CAD" w:rsidRPr="00640CAD" w:rsidRDefault="00640CAD" w:rsidP="00640CAD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0CAD">
        <w:rPr>
          <w:rFonts w:ascii="Times New Roman" w:hAnsi="Times New Roman" w:cs="Times New Roman"/>
          <w:sz w:val="24"/>
          <w:szCs w:val="24"/>
          <w:lang w:val="bg-BG"/>
        </w:rPr>
        <w:t>Кратко обобщението от анкетното проучване на мнението на бенефициентите по първото направление е представено в таблицата по-долу:</w:t>
      </w:r>
    </w:p>
    <w:tbl>
      <w:tblPr>
        <w:tblW w:w="5000" w:type="pct"/>
        <w:tblLook w:val="04A0"/>
      </w:tblPr>
      <w:tblGrid>
        <w:gridCol w:w="4837"/>
        <w:gridCol w:w="1996"/>
        <w:gridCol w:w="1636"/>
        <w:gridCol w:w="1153"/>
      </w:tblGrid>
      <w:tr w:rsidR="00640CAD" w:rsidRPr="00640CAD" w:rsidTr="00D04D60">
        <w:trPr>
          <w:trHeight w:val="290"/>
          <w:tblHeader/>
        </w:trPr>
        <w:tc>
          <w:tcPr>
            <w:tcW w:w="2514" w:type="pct"/>
            <w:vMerge w:val="restart"/>
            <w:shd w:val="clear" w:color="auto" w:fill="323E4F" w:themeFill="text2" w:themeFillShade="BF"/>
            <w:noWrap/>
            <w:vAlign w:val="center"/>
            <w:hideMark/>
          </w:tcPr>
          <w:p w:rsidR="00640CAD" w:rsidRPr="00640CAD" w:rsidRDefault="00640CAD" w:rsidP="00D04D60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/>
              </w:rPr>
              <w:t>Тип дейност</w:t>
            </w:r>
          </w:p>
        </w:tc>
        <w:tc>
          <w:tcPr>
            <w:tcW w:w="2486" w:type="pct"/>
            <w:gridSpan w:val="3"/>
            <w:shd w:val="clear" w:color="auto" w:fill="323E4F" w:themeFill="text2" w:themeFillShade="BF"/>
            <w:vAlign w:val="center"/>
            <w:hideMark/>
          </w:tcPr>
          <w:p w:rsidR="00640CAD" w:rsidRPr="00640CAD" w:rsidRDefault="00640CAD" w:rsidP="00D04D6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 w:themeColor="background1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 w:themeColor="background1"/>
                <w:lang w:val="bg-BG"/>
              </w:rPr>
              <w:t xml:space="preserve">% от цялата популация от 52 </w:t>
            </w:r>
            <w:proofErr w:type="spellStart"/>
            <w:r w:rsidRPr="00640C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 w:themeColor="background1"/>
                <w:lang w:val="bg-BG"/>
              </w:rPr>
              <w:t>респондента</w:t>
            </w:r>
            <w:proofErr w:type="spellEnd"/>
          </w:p>
        </w:tc>
      </w:tr>
      <w:tr w:rsidR="00640CAD" w:rsidRPr="00640CAD" w:rsidTr="00D04D60">
        <w:trPr>
          <w:trHeight w:val="725"/>
          <w:tblHeader/>
        </w:trPr>
        <w:tc>
          <w:tcPr>
            <w:tcW w:w="2514" w:type="pct"/>
            <w:vMerge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  <w:hideMark/>
          </w:tcPr>
          <w:p w:rsidR="00640CAD" w:rsidRPr="00640CAD" w:rsidRDefault="00640CAD" w:rsidP="00D04D6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  <w:hideMark/>
          </w:tcPr>
          <w:p w:rsidR="00640CAD" w:rsidRPr="00640CAD" w:rsidRDefault="00640CAD" w:rsidP="00D04D6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/>
              </w:rPr>
              <w:t>Да, това е обхватът на дейността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  <w:hideMark/>
          </w:tcPr>
          <w:p w:rsidR="00640CAD" w:rsidRPr="00640CAD" w:rsidRDefault="00640CAD" w:rsidP="00D04D6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/>
              </w:rPr>
              <w:t>Не, описанието не е точно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323E4F" w:themeFill="text2" w:themeFillShade="BF"/>
            <w:vAlign w:val="center"/>
            <w:hideMark/>
          </w:tcPr>
          <w:p w:rsidR="00640CAD" w:rsidRPr="00640CAD" w:rsidRDefault="00640CAD" w:rsidP="00D04D6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bg-BG"/>
              </w:rPr>
              <w:t>Друго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1: Организиране на обучения и семинари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67%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6%</w:t>
            </w:r>
          </w:p>
        </w:tc>
      </w:tr>
      <w:tr w:rsidR="00640CAD" w:rsidRPr="00640CAD" w:rsidTr="00D04D60">
        <w:trPr>
          <w:trHeight w:val="58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2: Организиране на (научни) конгреси и други подобни инициативи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25%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0%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3: Организиране на информационни кампании/събития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67%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</w:tr>
      <w:tr w:rsidR="00640CAD" w:rsidRPr="00640CAD" w:rsidTr="00D04D60">
        <w:trPr>
          <w:trHeight w:val="58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4: Подготовка за провеждане на обществени поръчки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79%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0%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5 - Иновации, научна и развойна дейност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19%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0%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6: Комуникации и ИT услуги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31%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0%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6%</w:t>
            </w:r>
          </w:p>
        </w:tc>
      </w:tr>
      <w:tr w:rsidR="00640CAD" w:rsidRPr="00640CAD" w:rsidTr="00D04D60">
        <w:trPr>
          <w:trHeight w:val="58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7: Прегледи на регулаторни режими, нормативна уредба и добри практики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35%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8: Социални и здравни услуги.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35%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0%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9: Услуги по професионално и кариерно консултиране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19%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</w:tr>
      <w:tr w:rsidR="00640CAD" w:rsidRPr="00640CAD" w:rsidTr="00D04D60">
        <w:trPr>
          <w:trHeight w:val="58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10: Събиране на данни, проучване, анализ и изследване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52%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11: Разработване на процедури и ръководства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46%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</w:tr>
      <w:tr w:rsidR="00640CAD" w:rsidRPr="00640CAD" w:rsidTr="00D04D60">
        <w:trPr>
          <w:trHeight w:val="58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12: Подобряване на процесите по административните услуги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54%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13: Внедряване на системи за управление на качеството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35%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6%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14: Стандартизиране на административните услуги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37%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Дейност 15: Субсидирана заетост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35%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</w:tr>
      <w:tr w:rsidR="00640CAD" w:rsidRPr="00640CAD" w:rsidTr="00D04D60">
        <w:trPr>
          <w:trHeight w:val="29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CAD" w:rsidRPr="00640CAD" w:rsidRDefault="00640CAD" w:rsidP="00D04D60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Разходи за организация и управление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75%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CAD" w:rsidRPr="00640CAD" w:rsidRDefault="00640CAD" w:rsidP="00D04D60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640CAD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4%</w:t>
            </w:r>
          </w:p>
        </w:tc>
      </w:tr>
    </w:tbl>
    <w:p w:rsidR="00640CAD" w:rsidRPr="00640CAD" w:rsidRDefault="00640CAD" w:rsidP="00640CAD">
      <w:pPr>
        <w:ind w:firstLine="720"/>
        <w:jc w:val="both"/>
        <w:rPr>
          <w:rFonts w:ascii="Times New Roman" w:hAnsi="Times New Roman" w:cs="Times New Roman"/>
          <w:szCs w:val="24"/>
          <w:lang w:val="bg-BG"/>
        </w:rPr>
      </w:pPr>
    </w:p>
    <w:p w:rsidR="00640CAD" w:rsidRDefault="00F53D15" w:rsidP="00F53D15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3D15">
        <w:rPr>
          <w:rFonts w:ascii="Times New Roman" w:hAnsi="Times New Roman" w:cs="Times New Roman"/>
          <w:sz w:val="24"/>
          <w:szCs w:val="24"/>
          <w:lang w:val="bg-BG"/>
        </w:rPr>
        <w:t xml:space="preserve">Обобщение на резултатите от това проучване е </w:t>
      </w:r>
      <w:r w:rsidRPr="007C0D1B">
        <w:rPr>
          <w:rFonts w:ascii="Times New Roman" w:hAnsi="Times New Roman" w:cs="Times New Roman"/>
          <w:sz w:val="24"/>
          <w:szCs w:val="24"/>
          <w:lang w:val="bg-BG"/>
        </w:rPr>
        <w:t>представено в Приложение №</w:t>
      </w:r>
      <w:r w:rsidR="007C0D1B" w:rsidRPr="007C0D1B">
        <w:rPr>
          <w:rFonts w:ascii="Times New Roman" w:hAnsi="Times New Roman" w:cs="Times New Roman"/>
          <w:sz w:val="24"/>
          <w:szCs w:val="24"/>
        </w:rPr>
        <w:t>2-</w:t>
      </w:r>
      <w:r w:rsidR="0017097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7C0D1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74703" w:rsidRPr="0076691D" w:rsidRDefault="00974703" w:rsidP="00974703">
      <w:pPr>
        <w:pStyle w:val="ListParagraph"/>
        <w:spacing w:after="120"/>
        <w:ind w:left="851"/>
        <w:contextualSpacing w:val="0"/>
        <w:jc w:val="both"/>
        <w:rPr>
          <w:rFonts w:cs="Times New Roman"/>
          <w:b/>
          <w:i/>
          <w:sz w:val="24"/>
          <w:szCs w:val="24"/>
          <w:lang w:val="bg-BG"/>
        </w:rPr>
      </w:pPr>
      <w:r w:rsidRPr="0076691D">
        <w:rPr>
          <w:rFonts w:cs="Times New Roman"/>
          <w:b/>
          <w:i/>
          <w:sz w:val="24"/>
          <w:szCs w:val="24"/>
          <w:lang w:val="bg-BG"/>
        </w:rPr>
        <w:t>Статистически данни на регионално и национално ниво</w:t>
      </w:r>
    </w:p>
    <w:p w:rsidR="00974703" w:rsidRPr="0076691D" w:rsidRDefault="00974703" w:rsidP="00974703">
      <w:pPr>
        <w:spacing w:after="120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6691D">
        <w:rPr>
          <w:rFonts w:ascii="Times New Roman" w:hAnsi="Times New Roman" w:cs="Times New Roman"/>
          <w:b/>
          <w:i/>
          <w:sz w:val="24"/>
          <w:szCs w:val="24"/>
          <w:lang w:val="bg-BG"/>
        </w:rPr>
        <w:t>Пазарни проучвания</w:t>
      </w:r>
    </w:p>
    <w:p w:rsidR="00974703" w:rsidRPr="0076691D" w:rsidRDefault="00974703" w:rsidP="00974703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6691D">
        <w:rPr>
          <w:rFonts w:ascii="Times New Roman" w:hAnsi="Times New Roman" w:cs="Times New Roman"/>
          <w:sz w:val="24"/>
          <w:szCs w:val="24"/>
          <w:lang w:val="bg-BG"/>
        </w:rPr>
        <w:t>Проучването на пазарните цени е извършено в областта на обучения, конференции и конгреси, информационни кампании и събития и други подобни мероприятия. Целта на проучването е получаване на актуална информация за пазарните нива на определен тип разходи, необходими при изчисленията на унифицираните ставки и сравнението им със ставките на разходите за единица продукт, определени на база историческа информацията за стария програмен период 2007-2013 г.</w:t>
      </w:r>
    </w:p>
    <w:p w:rsidR="00974703" w:rsidRPr="0076691D" w:rsidRDefault="00974703" w:rsidP="00974703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Проучването е извършено като е използвана основно публично достъпна информация в интернет сайтове на организатори на съответния тип събитие и/или дейност. Проучването обхваща </w:t>
      </w:r>
      <w:r w:rsidRPr="0076691D">
        <w:rPr>
          <w:rFonts w:ascii="Times New Roman" w:hAnsi="Times New Roman" w:cs="Times New Roman"/>
          <w:sz w:val="24"/>
          <w:szCs w:val="24"/>
          <w:u w:val="single"/>
          <w:lang w:val="bg-BG"/>
        </w:rPr>
        <w:t>налична</w:t>
      </w:r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 информация както за големи градове като София, Варна, Пловдив, Бургас, Русе, така и за по-малки градове като В. Търново, Габрово, Кюстендил, Хасково. </w:t>
      </w:r>
    </w:p>
    <w:p w:rsidR="00974703" w:rsidRPr="0076691D" w:rsidRDefault="00974703" w:rsidP="00974703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6691D">
        <w:rPr>
          <w:rFonts w:ascii="Times New Roman" w:hAnsi="Times New Roman" w:cs="Times New Roman"/>
          <w:sz w:val="24"/>
          <w:szCs w:val="24"/>
          <w:lang w:val="bg-BG"/>
        </w:rPr>
        <w:t>Пазарното проучването е извършено в две насоки:</w:t>
      </w:r>
    </w:p>
    <w:p w:rsidR="00974703" w:rsidRPr="0076691D" w:rsidRDefault="00974703" w:rsidP="00974703">
      <w:pPr>
        <w:pStyle w:val="ListParagraph"/>
        <w:numPr>
          <w:ilvl w:val="0"/>
          <w:numId w:val="14"/>
        </w:numPr>
        <w:tabs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76691D">
        <w:rPr>
          <w:rFonts w:cs="Times New Roman"/>
          <w:sz w:val="24"/>
          <w:szCs w:val="24"/>
          <w:lang w:val="bg-BG"/>
        </w:rPr>
        <w:t>проучване на текущи нива на пазарните цени за участие в даден тип събитие (обучение, конференция) - Това са цени за събития, организирани от външни организации, за които се заплаща определена такса за участие. В тази такса се включват всички разходи, необходими за организиране на съответното събитие. Допълнително е направено пазарно проучване на текущите равнища на възнаграждения на експерти от различни професии и с различен опит и стаж чрез специализирани фирми за човешки ресурси с цел да се изведе часова ставка при 1,856 часа средно работно време за страната; и</w:t>
      </w:r>
    </w:p>
    <w:p w:rsidR="00974703" w:rsidRPr="0076691D" w:rsidRDefault="00974703" w:rsidP="00974703">
      <w:pPr>
        <w:pStyle w:val="ListParagraph"/>
        <w:numPr>
          <w:ilvl w:val="0"/>
          <w:numId w:val="14"/>
        </w:numPr>
        <w:tabs>
          <w:tab w:val="left" w:pos="851"/>
        </w:tabs>
        <w:spacing w:after="120"/>
        <w:ind w:left="851" w:hanging="284"/>
        <w:contextualSpacing w:val="0"/>
        <w:jc w:val="both"/>
        <w:rPr>
          <w:rFonts w:cs="Times New Roman"/>
          <w:sz w:val="24"/>
          <w:szCs w:val="24"/>
          <w:lang w:val="bg-BG"/>
        </w:rPr>
      </w:pPr>
      <w:r w:rsidRPr="0076691D">
        <w:rPr>
          <w:rFonts w:cs="Times New Roman"/>
          <w:sz w:val="24"/>
          <w:szCs w:val="24"/>
          <w:lang w:val="bg-BG"/>
        </w:rPr>
        <w:t xml:space="preserve">проучване на пазарните цени на отделните елементи в </w:t>
      </w:r>
      <w:proofErr w:type="spellStart"/>
      <w:r w:rsidRPr="0076691D">
        <w:rPr>
          <w:rFonts w:cs="Times New Roman"/>
          <w:sz w:val="24"/>
          <w:szCs w:val="24"/>
          <w:lang w:val="bg-BG"/>
        </w:rPr>
        <w:t>калкулационната</w:t>
      </w:r>
      <w:proofErr w:type="spellEnd"/>
      <w:r w:rsidRPr="0076691D">
        <w:rPr>
          <w:rFonts w:cs="Times New Roman"/>
          <w:sz w:val="24"/>
          <w:szCs w:val="24"/>
          <w:lang w:val="bg-BG"/>
        </w:rPr>
        <w:t xml:space="preserve"> структура на разходите за организиране на даден тип събитие - То обхваща проучване на цените за наем на зала за организиране на съответното събитие, наем на презентационна техника, настаняване, </w:t>
      </w:r>
      <w:proofErr w:type="spellStart"/>
      <w:r w:rsidRPr="0076691D">
        <w:rPr>
          <w:rFonts w:cs="Times New Roman"/>
          <w:sz w:val="24"/>
          <w:szCs w:val="24"/>
          <w:lang w:val="bg-BG"/>
        </w:rPr>
        <w:t>кетъринг</w:t>
      </w:r>
      <w:proofErr w:type="spellEnd"/>
      <w:r w:rsidRPr="0076691D">
        <w:rPr>
          <w:rFonts w:cs="Times New Roman"/>
          <w:sz w:val="24"/>
          <w:szCs w:val="24"/>
          <w:lang w:val="bg-BG"/>
        </w:rPr>
        <w:t xml:space="preserve">, транспорт, превод и други. </w:t>
      </w:r>
    </w:p>
    <w:p w:rsidR="00974703" w:rsidRPr="0076691D" w:rsidRDefault="00974703" w:rsidP="0076691D">
      <w:pPr>
        <w:spacing w:after="120"/>
        <w:ind w:firstLine="567"/>
        <w:jc w:val="both"/>
        <w:rPr>
          <w:rFonts w:cs="Times New Roman"/>
          <w:b/>
          <w:color w:val="000000"/>
          <w:sz w:val="24"/>
          <w:szCs w:val="24"/>
          <w:lang w:val="bg-BG"/>
        </w:rPr>
      </w:pPr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Основните цели на това двупосочно пазарно проучване са: а) от една страна да се изведат пазарни стойности на </w:t>
      </w:r>
      <w:proofErr w:type="spellStart"/>
      <w:r w:rsidRPr="0076691D">
        <w:rPr>
          <w:rFonts w:ascii="Times New Roman" w:hAnsi="Times New Roman" w:cs="Times New Roman"/>
          <w:sz w:val="24"/>
          <w:szCs w:val="24"/>
          <w:lang w:val="bg-BG"/>
        </w:rPr>
        <w:t>калкулационните</w:t>
      </w:r>
      <w:proofErr w:type="spellEnd"/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 единици, които са обект на изчисленията на унифицирани ставки на разходите, за да може да се определи сравнителен еталон спрямо резултатите от статистическия анализ на историческата информация; и б) от друга страна – да се направи независимо пазарно калкулиране на разходите за организиране на съответното събитие за изследваните типове дейности от първа група – отново за сравнение, анализ и съпоставяне спрямо резултатите от изследването на данните от другите източници на информация. </w:t>
      </w:r>
    </w:p>
    <w:p w:rsidR="00974703" w:rsidRPr="0076691D" w:rsidRDefault="00974703" w:rsidP="00974703">
      <w:pPr>
        <w:pStyle w:val="ListParagraph"/>
        <w:spacing w:after="120"/>
        <w:ind w:left="0" w:firstLine="567"/>
        <w:contextualSpacing w:val="0"/>
        <w:jc w:val="both"/>
        <w:rPr>
          <w:rFonts w:cs="Times New Roman"/>
          <w:b/>
          <w:i/>
          <w:sz w:val="24"/>
          <w:szCs w:val="24"/>
          <w:lang w:val="bg-BG"/>
        </w:rPr>
      </w:pPr>
      <w:r w:rsidRPr="0076691D">
        <w:rPr>
          <w:rFonts w:cs="Times New Roman"/>
          <w:b/>
          <w:i/>
          <w:color w:val="000000"/>
          <w:sz w:val="24"/>
          <w:szCs w:val="24"/>
          <w:lang w:val="bg-BG"/>
        </w:rPr>
        <w:t>Статистически данни на национално ниво</w:t>
      </w:r>
    </w:p>
    <w:p w:rsidR="00974703" w:rsidRPr="00974703" w:rsidRDefault="00974703" w:rsidP="00974703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6691D">
        <w:rPr>
          <w:rFonts w:ascii="Times New Roman" w:hAnsi="Times New Roman" w:cs="Times New Roman"/>
          <w:sz w:val="24"/>
          <w:szCs w:val="24"/>
          <w:lang w:val="bg-BG"/>
        </w:rPr>
        <w:t>В съответствие с изискването на чл. 67 от Регламент (ЕС) №1303/2013 г. к</w:t>
      </w:r>
      <w:r w:rsidRPr="0076691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алкулациите на унифицирани ставки за опростени разходи по типичните дейности е препоръчително </w:t>
      </w:r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Pr="0076691D">
        <w:rPr>
          <w:rFonts w:ascii="Times New Roman" w:eastAsia="Calibri" w:hAnsi="Times New Roman" w:cs="Times New Roman"/>
          <w:sz w:val="24"/>
          <w:szCs w:val="24"/>
          <w:lang w:val="bg-BG"/>
        </w:rPr>
        <w:t>се правят на база налична статисти</w:t>
      </w:r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ческа информация на </w:t>
      </w:r>
      <w:r w:rsidRPr="0076691D">
        <w:rPr>
          <w:rFonts w:ascii="Times New Roman" w:eastAsia="Calibri" w:hAnsi="Times New Roman" w:cs="Times New Roman"/>
          <w:sz w:val="24"/>
          <w:szCs w:val="24"/>
          <w:lang w:val="bg-BG"/>
        </w:rPr>
        <w:t>национално ниво: статистически данни и друга обективна информация. Затова</w:t>
      </w:r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 са изпратени специални писма с искания на информация до основните източници на статистическа информация (НСИ, НОИ, НАП, други организации и агенции за събиране на данни). Предоставена е информация </w:t>
      </w:r>
      <w:r w:rsidRPr="0076691D">
        <w:rPr>
          <w:rFonts w:ascii="Times New Roman" w:hAnsi="Times New Roman" w:cs="Times New Roman"/>
          <w:sz w:val="24"/>
          <w:szCs w:val="24"/>
          <w:u w:val="single"/>
          <w:lang w:val="bg-BG"/>
        </w:rPr>
        <w:t>само от НСИ</w:t>
      </w:r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 в наличните на национално ниво стандартни разрези и матрици, която е силно </w:t>
      </w:r>
      <w:proofErr w:type="spellStart"/>
      <w:r w:rsidRPr="0076691D">
        <w:rPr>
          <w:rFonts w:ascii="Times New Roman" w:hAnsi="Times New Roman" w:cs="Times New Roman"/>
          <w:sz w:val="24"/>
          <w:szCs w:val="24"/>
          <w:lang w:val="bg-BG"/>
        </w:rPr>
        <w:t>агрегирана</w:t>
      </w:r>
      <w:proofErr w:type="spellEnd"/>
      <w:r w:rsidRPr="0076691D">
        <w:rPr>
          <w:rFonts w:ascii="Times New Roman" w:hAnsi="Times New Roman" w:cs="Times New Roman"/>
          <w:sz w:val="24"/>
          <w:szCs w:val="24"/>
          <w:lang w:val="bg-BG"/>
        </w:rPr>
        <w:t xml:space="preserve"> и в различни разрези спрямо целите на настоящия ангажимент (</w:t>
      </w:r>
      <w:r w:rsidR="00CB0266" w:rsidRPr="0076691D">
        <w:rPr>
          <w:rFonts w:ascii="Times New Roman" w:hAnsi="Times New Roman" w:cs="Times New Roman"/>
          <w:sz w:val="24"/>
          <w:szCs w:val="24"/>
          <w:lang w:val="bg-BG"/>
        </w:rPr>
        <w:t>Приложение №</w:t>
      </w:r>
      <w:r w:rsidR="0076691D">
        <w:rPr>
          <w:rFonts w:ascii="Times New Roman" w:hAnsi="Times New Roman" w:cs="Times New Roman"/>
          <w:sz w:val="24"/>
          <w:szCs w:val="24"/>
          <w:lang w:val="bg-BG"/>
        </w:rPr>
        <w:t>2-4</w:t>
      </w:r>
      <w:r w:rsidR="00CB0266" w:rsidRPr="0076691D">
        <w:rPr>
          <w:rFonts w:ascii="Times New Roman" w:hAnsi="Times New Roman" w:cs="Times New Roman"/>
          <w:sz w:val="24"/>
          <w:szCs w:val="24"/>
          <w:lang w:val="bg-BG"/>
        </w:rPr>
        <w:t>).</w:t>
      </w:r>
      <w:r w:rsidRPr="0097470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620D53" w:rsidRDefault="00620D53" w:rsidP="00F53D15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00663" w:rsidRDefault="00700663" w:rsidP="0010053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E5E75" w:rsidRPr="00D04D60" w:rsidRDefault="008E5E75" w:rsidP="00587203">
      <w:pPr>
        <w:pStyle w:val="Heading1"/>
        <w:keepNext/>
        <w:keepLines/>
        <w:numPr>
          <w:ilvl w:val="0"/>
          <w:numId w:val="1"/>
        </w:numPr>
        <w:pBdr>
          <w:top w:val="none" w:sz="0" w:space="0" w:color="auto"/>
        </w:pBdr>
        <w:spacing w:before="0" w:after="120" w:line="276" w:lineRule="auto"/>
        <w:ind w:left="360" w:hanging="360"/>
        <w:jc w:val="both"/>
        <w:rPr>
          <w:smallCaps/>
          <w:sz w:val="28"/>
          <w:lang w:val="bg-BG"/>
        </w:rPr>
      </w:pPr>
      <w:bookmarkStart w:id="3" w:name="_Toc414524861"/>
      <w:r w:rsidRPr="00D04D60">
        <w:rPr>
          <w:smallCaps/>
          <w:sz w:val="28"/>
          <w:lang w:val="bg-BG"/>
        </w:rPr>
        <w:t>Приложения</w:t>
      </w:r>
      <w:bookmarkEnd w:id="3"/>
    </w:p>
    <w:p w:rsidR="008E5E75" w:rsidRPr="00D04D60" w:rsidRDefault="008E5E75" w:rsidP="008E5E75">
      <w:pPr>
        <w:rPr>
          <w:lang w:val="bg-BG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86"/>
        <w:gridCol w:w="7136"/>
      </w:tblGrid>
      <w:tr w:rsidR="00D04D60" w:rsidRPr="00D04D60" w:rsidTr="007C0D1B">
        <w:tc>
          <w:tcPr>
            <w:tcW w:w="1292" w:type="pct"/>
          </w:tcPr>
          <w:p w:rsidR="00D04D60" w:rsidRPr="00D04D60" w:rsidRDefault="00D04D60" w:rsidP="00D04D60">
            <w:pPr>
              <w:spacing w:after="120" w:line="276" w:lineRule="auto"/>
              <w:rPr>
                <w:rFonts w:cs="Times New Roman"/>
                <w:sz w:val="24"/>
                <w:szCs w:val="24"/>
                <w:lang w:val="bg-BG"/>
              </w:rPr>
            </w:pPr>
            <w:r w:rsidRPr="00D04D60">
              <w:rPr>
                <w:rFonts w:cs="Times New Roman"/>
                <w:sz w:val="24"/>
                <w:szCs w:val="24"/>
                <w:lang w:val="bg-BG"/>
              </w:rPr>
              <w:t>Приложение №</w:t>
            </w:r>
            <w:r w:rsidR="007C0D1B">
              <w:rPr>
                <w:rFonts w:cs="Times New Roman"/>
                <w:sz w:val="24"/>
                <w:szCs w:val="24"/>
              </w:rPr>
              <w:t>2-</w:t>
            </w:r>
            <w:r w:rsidRPr="00D04D60">
              <w:rPr>
                <w:rFonts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708" w:type="pct"/>
          </w:tcPr>
          <w:p w:rsidR="00D04D60" w:rsidRPr="00D04D60" w:rsidRDefault="00D04D60" w:rsidP="00D04D60">
            <w:pPr>
              <w:spacing w:after="120" w:line="276" w:lineRule="auto"/>
              <w:jc w:val="both"/>
              <w:rPr>
                <w:rFonts w:cs="Times New Roman"/>
                <w:sz w:val="24"/>
                <w:szCs w:val="24"/>
                <w:lang w:val="bg-BG"/>
              </w:rPr>
            </w:pPr>
            <w:r w:rsidRPr="00D04D60">
              <w:rPr>
                <w:sz w:val="24"/>
                <w:szCs w:val="24"/>
                <w:lang w:val="bg-BG"/>
              </w:rPr>
              <w:t>Анкетна карта</w:t>
            </w:r>
          </w:p>
        </w:tc>
      </w:tr>
      <w:tr w:rsidR="00D04D60" w:rsidRPr="00D04D60" w:rsidTr="007C0D1B">
        <w:tc>
          <w:tcPr>
            <w:tcW w:w="1292" w:type="pct"/>
          </w:tcPr>
          <w:p w:rsidR="00D04D60" w:rsidRPr="007C0D1B" w:rsidRDefault="00D04D60" w:rsidP="00170978">
            <w:pPr>
              <w:spacing w:after="120" w:line="276" w:lineRule="auto"/>
              <w:rPr>
                <w:rFonts w:cs="Times New Roman"/>
                <w:sz w:val="24"/>
                <w:szCs w:val="24"/>
              </w:rPr>
            </w:pPr>
            <w:r w:rsidRPr="00D04D60">
              <w:rPr>
                <w:rFonts w:cs="Times New Roman"/>
                <w:sz w:val="24"/>
                <w:szCs w:val="24"/>
                <w:lang w:val="bg-BG"/>
              </w:rPr>
              <w:t>Приложение №</w:t>
            </w:r>
            <w:r w:rsidR="007C0D1B">
              <w:rPr>
                <w:rFonts w:cs="Times New Roman"/>
                <w:sz w:val="24"/>
                <w:szCs w:val="24"/>
              </w:rPr>
              <w:t>2-</w:t>
            </w:r>
            <w:r w:rsidR="00170978">
              <w:rPr>
                <w:rFonts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3708" w:type="pct"/>
          </w:tcPr>
          <w:p w:rsidR="00D04D60" w:rsidRPr="00D04D60" w:rsidRDefault="00D04D60" w:rsidP="00D04D60">
            <w:pPr>
              <w:spacing w:after="120" w:line="276" w:lineRule="auto"/>
              <w:jc w:val="both"/>
              <w:rPr>
                <w:rFonts w:cs="Times New Roman"/>
                <w:sz w:val="24"/>
                <w:szCs w:val="24"/>
                <w:lang w:val="bg-BG"/>
              </w:rPr>
            </w:pPr>
            <w:r w:rsidRPr="00D04D60">
              <w:rPr>
                <w:sz w:val="24"/>
                <w:szCs w:val="24"/>
                <w:lang w:val="bg-BG"/>
              </w:rPr>
              <w:t>Пазарно проучване</w:t>
            </w:r>
          </w:p>
        </w:tc>
      </w:tr>
      <w:tr w:rsidR="00D04D60" w:rsidRPr="00D04D60" w:rsidTr="007C0D1B">
        <w:tc>
          <w:tcPr>
            <w:tcW w:w="1292" w:type="pct"/>
          </w:tcPr>
          <w:p w:rsidR="00D04D60" w:rsidRPr="00D04D60" w:rsidRDefault="00D04D60" w:rsidP="00170978">
            <w:pPr>
              <w:spacing w:after="120" w:line="276" w:lineRule="auto"/>
              <w:rPr>
                <w:rFonts w:cs="Times New Roman"/>
                <w:sz w:val="24"/>
                <w:szCs w:val="24"/>
                <w:lang w:val="bg-BG"/>
              </w:rPr>
            </w:pPr>
            <w:r w:rsidRPr="00D04D60">
              <w:rPr>
                <w:rFonts w:cs="Times New Roman"/>
                <w:sz w:val="24"/>
                <w:szCs w:val="24"/>
                <w:lang w:val="bg-BG"/>
              </w:rPr>
              <w:t>Приложение №</w:t>
            </w:r>
            <w:r w:rsidR="007C0D1B">
              <w:rPr>
                <w:rFonts w:cs="Times New Roman"/>
                <w:sz w:val="24"/>
                <w:szCs w:val="24"/>
              </w:rPr>
              <w:t>2-</w:t>
            </w:r>
            <w:r w:rsidR="00170978">
              <w:rPr>
                <w:rFonts w:cs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3708" w:type="pct"/>
          </w:tcPr>
          <w:p w:rsidR="00D04D60" w:rsidRPr="00D04D60" w:rsidRDefault="00D04D60" w:rsidP="00D04D60">
            <w:pPr>
              <w:spacing w:after="120" w:line="276" w:lineRule="auto"/>
              <w:jc w:val="both"/>
              <w:rPr>
                <w:rFonts w:cs="Times New Roman"/>
                <w:sz w:val="24"/>
                <w:szCs w:val="24"/>
                <w:lang w:val="bg-BG"/>
              </w:rPr>
            </w:pPr>
            <w:r w:rsidRPr="00D04D60">
              <w:rPr>
                <w:sz w:val="24"/>
                <w:szCs w:val="24"/>
                <w:lang w:val="bg-BG"/>
              </w:rPr>
              <w:t>Резултати от анкетно проучване мнението на бенефициентите на оперативните програми 2007-2013 г. и потенциални кандидати по оперативните програми 2014-2020 г.</w:t>
            </w:r>
          </w:p>
        </w:tc>
      </w:tr>
      <w:tr w:rsidR="00D04D60" w:rsidRPr="00145616" w:rsidTr="007C0D1B">
        <w:tc>
          <w:tcPr>
            <w:tcW w:w="1292" w:type="pct"/>
          </w:tcPr>
          <w:p w:rsidR="00D04D60" w:rsidRPr="00D04D60" w:rsidRDefault="00D04D60" w:rsidP="00170978">
            <w:pPr>
              <w:spacing w:after="120" w:line="276" w:lineRule="auto"/>
              <w:rPr>
                <w:rFonts w:cs="Times New Roman"/>
                <w:sz w:val="24"/>
                <w:szCs w:val="24"/>
                <w:lang w:val="bg-BG"/>
              </w:rPr>
            </w:pPr>
            <w:r w:rsidRPr="00D04D60">
              <w:rPr>
                <w:rFonts w:cs="Times New Roman"/>
                <w:sz w:val="24"/>
                <w:szCs w:val="24"/>
                <w:lang w:val="bg-BG"/>
              </w:rPr>
              <w:t>Приложение №</w:t>
            </w:r>
            <w:r w:rsidR="007C0D1B">
              <w:rPr>
                <w:rFonts w:cs="Times New Roman"/>
                <w:sz w:val="24"/>
                <w:szCs w:val="24"/>
              </w:rPr>
              <w:t>2-</w:t>
            </w:r>
            <w:r w:rsidR="00170978">
              <w:rPr>
                <w:rFonts w:cs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3708" w:type="pct"/>
          </w:tcPr>
          <w:p w:rsidR="00D04D60" w:rsidRPr="00D04D60" w:rsidRDefault="00D04D60" w:rsidP="00D04D60">
            <w:pPr>
              <w:spacing w:after="120" w:line="276" w:lineRule="auto"/>
              <w:jc w:val="both"/>
              <w:rPr>
                <w:rFonts w:cs="Times New Roman"/>
                <w:sz w:val="24"/>
                <w:szCs w:val="24"/>
                <w:lang w:val="bg-BG"/>
              </w:rPr>
            </w:pPr>
            <w:r w:rsidRPr="00D04D60">
              <w:rPr>
                <w:sz w:val="24"/>
                <w:szCs w:val="24"/>
                <w:lang w:val="bg-BG"/>
              </w:rPr>
              <w:t>Средна брутна годишна работна заплата на наетите лица по трудово или служебно правоотношение през 2012 г. и 2013 г. по данни на НСИ</w:t>
            </w:r>
          </w:p>
        </w:tc>
      </w:tr>
      <w:tr w:rsidR="00031C6F" w:rsidRPr="00145616" w:rsidTr="007C0D1B">
        <w:tc>
          <w:tcPr>
            <w:tcW w:w="1292" w:type="pct"/>
          </w:tcPr>
          <w:p w:rsidR="00031C6F" w:rsidRPr="00031C6F" w:rsidRDefault="00031C6F" w:rsidP="00031C6F">
            <w:pPr>
              <w:spacing w:after="120" w:line="276" w:lineRule="auto"/>
              <w:rPr>
                <w:rFonts w:cs="Times New Roman"/>
                <w:sz w:val="24"/>
                <w:szCs w:val="24"/>
              </w:rPr>
            </w:pPr>
            <w:r w:rsidRPr="00031C6F">
              <w:rPr>
                <w:rFonts w:cs="Times New Roman"/>
                <w:sz w:val="24"/>
                <w:szCs w:val="24"/>
                <w:lang w:val="bg-BG"/>
              </w:rPr>
              <w:t>Приложение №</w:t>
            </w:r>
            <w:r w:rsidRPr="00031C6F">
              <w:rPr>
                <w:rFonts w:cs="Times New Roman"/>
                <w:sz w:val="24"/>
                <w:szCs w:val="24"/>
              </w:rPr>
              <w:t>2-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708" w:type="pct"/>
          </w:tcPr>
          <w:p w:rsidR="00031C6F" w:rsidRPr="00031C6F" w:rsidRDefault="00031C6F" w:rsidP="00D04D60">
            <w:pPr>
              <w:spacing w:after="120" w:line="276" w:lineRule="auto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Идентифицирани експерти, за които не са изведени ставки</w:t>
            </w:r>
          </w:p>
        </w:tc>
      </w:tr>
      <w:tr w:rsidR="00353C0C" w:rsidRPr="00145616" w:rsidTr="007C0D1B">
        <w:tc>
          <w:tcPr>
            <w:tcW w:w="1292" w:type="pct"/>
          </w:tcPr>
          <w:p w:rsidR="00353C0C" w:rsidRPr="00031C6F" w:rsidRDefault="00353C0C" w:rsidP="00031C6F">
            <w:pPr>
              <w:spacing w:after="120" w:line="276" w:lineRule="auto"/>
              <w:rPr>
                <w:rFonts w:cs="Times New Roman"/>
                <w:sz w:val="24"/>
                <w:szCs w:val="24"/>
                <w:lang w:val="bg-BG"/>
              </w:rPr>
            </w:pPr>
            <w:r>
              <w:rPr>
                <w:rFonts w:cs="Times New Roman"/>
                <w:sz w:val="24"/>
                <w:szCs w:val="24"/>
                <w:lang w:val="bg-BG"/>
              </w:rPr>
              <w:t>Приложение №2-6</w:t>
            </w:r>
          </w:p>
        </w:tc>
        <w:tc>
          <w:tcPr>
            <w:tcW w:w="3708" w:type="pct"/>
          </w:tcPr>
          <w:p w:rsidR="00353C0C" w:rsidRDefault="003452C0" w:rsidP="00D04D60">
            <w:pPr>
              <w:spacing w:after="120" w:line="276" w:lineRule="auto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Идентифицирани ограничения. Заключения и препоръки.</w:t>
            </w:r>
          </w:p>
        </w:tc>
      </w:tr>
    </w:tbl>
    <w:p w:rsidR="00D04D60" w:rsidRPr="00640CAD" w:rsidRDefault="00D04D60" w:rsidP="00640CAD">
      <w:pPr>
        <w:rPr>
          <w:rFonts w:ascii="Times New Roman" w:hAnsi="Times New Roman" w:cs="Times New Roman"/>
          <w:b/>
          <w:lang w:val="bg-BG"/>
        </w:rPr>
      </w:pPr>
    </w:p>
    <w:sectPr w:rsidR="00D04D60" w:rsidRPr="00640CAD" w:rsidSect="005E1ED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D06" w:rsidRDefault="00047D06" w:rsidP="009C6B8F">
      <w:pPr>
        <w:spacing w:after="0" w:line="240" w:lineRule="auto"/>
      </w:pPr>
      <w:r>
        <w:separator/>
      </w:r>
    </w:p>
  </w:endnote>
  <w:endnote w:type="continuationSeparator" w:id="0">
    <w:p w:rsidR="00047D06" w:rsidRDefault="00047D06" w:rsidP="009C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FF3" w:rsidRPr="005E0784" w:rsidRDefault="00556FF3" w:rsidP="005E0784">
    <w:pPr>
      <w:spacing w:after="0"/>
      <w:jc w:val="center"/>
      <w:rPr>
        <w:rFonts w:ascii="Times New Roman" w:hAnsi="Times New Roman" w:cs="Times New Roman"/>
        <w:sz w:val="20"/>
        <w:szCs w:val="20"/>
        <w:lang w:val="bg-BG"/>
      </w:rPr>
    </w:pPr>
  </w:p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556FF3" w:rsidRPr="005E0784" w:rsidTr="0026396B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556FF3" w:rsidRPr="005E0784" w:rsidRDefault="00556FF3" w:rsidP="0026396B">
          <w:pPr>
            <w:pStyle w:val="Footer"/>
            <w:spacing w:line="276" w:lineRule="auto"/>
            <w:ind w:left="15"/>
            <w:jc w:val="center"/>
            <w:rPr>
              <w:rFonts w:ascii="Times New Roman" w:hAnsi="Times New Roman" w:cs="Times New Roman"/>
              <w:sz w:val="14"/>
              <w:szCs w:val="14"/>
              <w:lang w:val="bg-BG"/>
            </w:rPr>
          </w:pPr>
          <w:r w:rsidRPr="005E0784">
            <w:rPr>
              <w:rFonts w:ascii="Times New Roman" w:hAnsi="Times New Roman" w:cs="Times New Roman"/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 w:bidi="en-US"/>
            </w:rPr>
            <w:t xml:space="preserve">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5E0784">
            <w:rPr>
              <w:rFonts w:ascii="Times New Roman" w:hAnsi="Times New Roman" w:cs="Times New Roman"/>
              <w:iCs/>
              <w:sz w:val="14"/>
              <w:szCs w:val="14"/>
              <w:lang w:val="bg-BG"/>
            </w:rPr>
            <w:t xml:space="preserve">, изпълняван от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/>
            </w:rPr>
            <w:t>Администрация на Министерски съвет</w:t>
          </w:r>
        </w:p>
        <w:p w:rsidR="00556FF3" w:rsidRPr="005E0784" w:rsidRDefault="009275B0" w:rsidP="0026396B">
          <w:pPr>
            <w:pStyle w:val="Footer"/>
            <w:spacing w:line="276" w:lineRule="auto"/>
            <w:ind w:left="15"/>
            <w:jc w:val="center"/>
            <w:rPr>
              <w:rStyle w:val="Hyperlink"/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  <w:hyperlink r:id="rId1" w:history="1">
            <w:r w:rsidR="00556FF3" w:rsidRPr="005E0784">
              <w:rPr>
                <w:rStyle w:val="Hyperlink"/>
                <w:rFonts w:ascii="Times New Roman" w:eastAsia="Calibri" w:hAnsi="Times New Roman" w:cs="Times New Roman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556FF3" w:rsidRPr="005E0784" w:rsidRDefault="00556FF3" w:rsidP="0026396B">
          <w:pPr>
            <w:spacing w:after="0"/>
            <w:ind w:left="-695" w:firstLine="695"/>
            <w:jc w:val="center"/>
            <w:rPr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</w:p>
      </w:tc>
    </w:tr>
    <w:tr w:rsidR="00556FF3" w:rsidRPr="005E0784" w:rsidTr="0026396B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556FF3" w:rsidRPr="005E0784" w:rsidRDefault="00556FF3" w:rsidP="0026396B">
          <w:pPr>
            <w:pStyle w:val="Title"/>
            <w:spacing w:line="276" w:lineRule="auto"/>
            <w:rPr>
              <w:sz w:val="16"/>
              <w:szCs w:val="16"/>
            </w:rPr>
          </w:pPr>
          <w:r w:rsidRPr="005E0784">
            <w:rPr>
              <w:sz w:val="20"/>
            </w:rPr>
            <w:t xml:space="preserve">стр. </w:t>
          </w:r>
          <w:r w:rsidR="009275B0"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PAGE </w:instrText>
          </w:r>
          <w:r w:rsidR="009275B0" w:rsidRPr="005E0784">
            <w:rPr>
              <w:sz w:val="20"/>
            </w:rPr>
            <w:fldChar w:fldCharType="separate"/>
          </w:r>
          <w:r w:rsidR="00EA2808">
            <w:rPr>
              <w:noProof/>
              <w:sz w:val="20"/>
            </w:rPr>
            <w:t>23</w:t>
          </w:r>
          <w:r w:rsidR="009275B0" w:rsidRPr="005E0784">
            <w:rPr>
              <w:sz w:val="20"/>
            </w:rPr>
            <w:fldChar w:fldCharType="end"/>
          </w:r>
          <w:r w:rsidRPr="005E0784">
            <w:rPr>
              <w:sz w:val="20"/>
            </w:rPr>
            <w:t>/</w:t>
          </w:r>
          <w:r w:rsidR="009275B0"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NUMPAGES  </w:instrText>
          </w:r>
          <w:r w:rsidR="009275B0" w:rsidRPr="005E0784">
            <w:rPr>
              <w:sz w:val="20"/>
            </w:rPr>
            <w:fldChar w:fldCharType="separate"/>
          </w:r>
          <w:r w:rsidR="00EA2808">
            <w:rPr>
              <w:noProof/>
              <w:sz w:val="20"/>
            </w:rPr>
            <w:t>23</w:t>
          </w:r>
          <w:r w:rsidR="009275B0" w:rsidRPr="005E0784">
            <w:rPr>
              <w:sz w:val="20"/>
            </w:rPr>
            <w:fldChar w:fldCharType="end"/>
          </w:r>
        </w:p>
      </w:tc>
    </w:tr>
  </w:tbl>
  <w:p w:rsidR="00556FF3" w:rsidRPr="005E0784" w:rsidRDefault="00556FF3" w:rsidP="005E0784">
    <w:pPr>
      <w:spacing w:after="0"/>
      <w:rPr>
        <w:rFonts w:ascii="Times New Roman" w:hAnsi="Times New Roman" w:cs="Times New Roman"/>
        <w:sz w:val="2"/>
        <w:szCs w:val="2"/>
        <w:lang w:val="bg-BG"/>
      </w:rPr>
    </w:pPr>
  </w:p>
  <w:p w:rsidR="00556FF3" w:rsidRPr="005E0784" w:rsidRDefault="00556FF3" w:rsidP="005E0784">
    <w:pPr>
      <w:pStyle w:val="Footer"/>
      <w:rPr>
        <w:rFonts w:ascii="Times New Roman" w:hAnsi="Times New Roman" w:cs="Times New Roman"/>
        <w:sz w:val="2"/>
        <w:szCs w:val="2"/>
      </w:rPr>
    </w:pPr>
  </w:p>
  <w:p w:rsidR="00556FF3" w:rsidRPr="005E0784" w:rsidRDefault="00556FF3" w:rsidP="005E0784">
    <w:pPr>
      <w:pStyle w:val="Footer"/>
      <w:rPr>
        <w:rFonts w:ascii="Times New Roman" w:hAnsi="Times New Roman" w:cs="Times New Roman"/>
      </w:rPr>
    </w:pPr>
  </w:p>
  <w:p w:rsidR="00556FF3" w:rsidRDefault="00556FF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212"/>
    </w:tblGrid>
    <w:tr w:rsidR="00556FF3" w:rsidRPr="00E37336" w:rsidTr="0026396B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556FF3" w:rsidRPr="0010053C" w:rsidRDefault="00556FF3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10053C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Изпълнител: ДЗЗД Консорциум „ИДЕИН-ФПИ-АФА”</w:t>
          </w:r>
        </w:p>
        <w:p w:rsidR="00556FF3" w:rsidRPr="0010053C" w:rsidRDefault="00556FF3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10053C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Адрес на изпълнителя: ул. „Българска морава” №54, ет. 7, 1303 София, България</w:t>
          </w:r>
        </w:p>
        <w:p w:rsidR="00556FF3" w:rsidRPr="000E2347" w:rsidRDefault="00556FF3" w:rsidP="0059190A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556FF3" w:rsidRPr="000E2347" w:rsidTr="0026396B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/>
          </w:tblPr>
          <w:tblGrid>
            <w:gridCol w:w="2303"/>
            <w:gridCol w:w="2303"/>
            <w:gridCol w:w="2303"/>
          </w:tblGrid>
          <w:tr w:rsidR="00556FF3" w:rsidRPr="000E2347" w:rsidTr="0026396B">
            <w:trPr>
              <w:jc w:val="center"/>
            </w:trPr>
            <w:tc>
              <w:tcPr>
                <w:tcW w:w="2303" w:type="dxa"/>
                <w:vAlign w:val="center"/>
              </w:tcPr>
              <w:p w:rsidR="00556FF3" w:rsidRPr="000E2347" w:rsidRDefault="00556FF3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25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556FF3" w:rsidRPr="000E2347" w:rsidRDefault="00556FF3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26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556FF3" w:rsidRPr="000E2347" w:rsidRDefault="00556FF3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27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556FF3" w:rsidRPr="000E2347" w:rsidRDefault="00556FF3" w:rsidP="0026396B">
          <w:pPr>
            <w:jc w:val="center"/>
            <w:rPr>
              <w:b/>
              <w:sz w:val="16"/>
              <w:szCs w:val="16"/>
            </w:rPr>
          </w:pPr>
        </w:p>
      </w:tc>
    </w:tr>
  </w:tbl>
  <w:p w:rsidR="00556FF3" w:rsidRDefault="00556F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D06" w:rsidRDefault="00047D06" w:rsidP="009C6B8F">
      <w:pPr>
        <w:spacing w:after="0" w:line="240" w:lineRule="auto"/>
      </w:pPr>
      <w:r>
        <w:separator/>
      </w:r>
    </w:p>
  </w:footnote>
  <w:footnote w:type="continuationSeparator" w:id="0">
    <w:p w:rsidR="00047D06" w:rsidRDefault="00047D06" w:rsidP="009C6B8F">
      <w:pPr>
        <w:spacing w:after="0" w:line="240" w:lineRule="auto"/>
      </w:pPr>
      <w:r>
        <w:continuationSeparator/>
      </w:r>
    </w:p>
  </w:footnote>
  <w:footnote w:id="1">
    <w:p w:rsidR="00556FF3" w:rsidRPr="00A62202" w:rsidRDefault="00556FF3" w:rsidP="00B1315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A62202">
        <w:rPr>
          <w:lang w:val="bg-BG"/>
        </w:rPr>
        <w:t xml:space="preserve"> </w:t>
      </w:r>
      <w:hyperlink r:id="rId1" w:history="1">
        <w:r w:rsidRPr="0010053C">
          <w:rPr>
            <w:rStyle w:val="Hyperlink1"/>
            <w:lang w:val="en-GB"/>
          </w:rPr>
          <w:t>http://ec.europa.eu/regional_policy/index.cfm/en/information/publications/guidelines/2014/guidance-on-simplified-cost-options-scos-flat-rate-financing-standard-scales-of-unit-costs-lump-sums</w:t>
        </w:r>
      </w:hyperlink>
      <w:r w:rsidRPr="00A62202">
        <w:rPr>
          <w:lang w:val="bg-BG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556FF3" w:rsidRPr="00185FC7" w:rsidTr="0026396B">
      <w:tc>
        <w:tcPr>
          <w:tcW w:w="5000" w:type="pct"/>
          <w:shd w:val="clear" w:color="auto" w:fill="auto"/>
        </w:tcPr>
        <w:p w:rsidR="00556FF3" w:rsidRPr="0076691D" w:rsidRDefault="0076691D" w:rsidP="00F53D15">
          <w:pPr>
            <w:pStyle w:val="Title"/>
            <w:spacing w:before="60" w:after="60"/>
            <w:rPr>
              <w:b w:val="0"/>
              <w:sz w:val="20"/>
            </w:rPr>
          </w:pPr>
          <w:r w:rsidRPr="0076691D">
            <w:rPr>
              <w:sz w:val="18"/>
            </w:rPr>
            <w:t>Източници на информация и изпълнени процедури по събирането й</w:t>
          </w:r>
        </w:p>
      </w:tc>
    </w:tr>
    <w:tr w:rsidR="00556FF3" w:rsidRPr="00596A90" w:rsidTr="0026396B">
      <w:tc>
        <w:tcPr>
          <w:tcW w:w="5000" w:type="pct"/>
          <w:shd w:val="clear" w:color="auto" w:fill="auto"/>
        </w:tcPr>
        <w:p w:rsidR="00556FF3" w:rsidRPr="00596A90" w:rsidRDefault="00556FF3" w:rsidP="0026396B">
          <w:pPr>
            <w:pStyle w:val="Title"/>
            <w:spacing w:before="60" w:after="60"/>
            <w:rPr>
              <w:sz w:val="20"/>
            </w:rPr>
          </w:pPr>
          <w:r w:rsidRPr="00A41925">
            <w:rPr>
              <w:rFonts w:eastAsia="Calibri"/>
              <w:sz w:val="18"/>
            </w:rPr>
            <w:t>„</w:t>
          </w:r>
          <w:r w:rsidRPr="00A41925">
            <w:rPr>
              <w:sz w:val="18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A41925">
            <w:rPr>
              <w:rFonts w:eastAsia="Calibri"/>
              <w:sz w:val="18"/>
            </w:rPr>
            <w:t>”</w:t>
          </w:r>
        </w:p>
      </w:tc>
    </w:tr>
  </w:tbl>
  <w:p w:rsidR="00556FF3" w:rsidRDefault="00556F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FF3" w:rsidRDefault="00556FF3">
    <w:pPr>
      <w:pStyle w:val="Header"/>
    </w:pPr>
    <w:r w:rsidRPr="0059190A">
      <w:rPr>
        <w:noProof/>
      </w:rPr>
      <w:drawing>
        <wp:inline distT="0" distB="0" distL="0" distR="0">
          <wp:extent cx="6120130" cy="610065"/>
          <wp:effectExtent l="19050" t="0" r="0" b="0"/>
          <wp:docPr id="24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4E40"/>
    <w:multiLevelType w:val="hybridMultilevel"/>
    <w:tmpl w:val="7FF68D5A"/>
    <w:lvl w:ilvl="0" w:tplc="B25058EE">
      <w:start w:val="1"/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0747522E"/>
    <w:multiLevelType w:val="hybridMultilevel"/>
    <w:tmpl w:val="97C879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6274A"/>
    <w:multiLevelType w:val="hybridMultilevel"/>
    <w:tmpl w:val="124E9C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36D36"/>
    <w:multiLevelType w:val="hybridMultilevel"/>
    <w:tmpl w:val="DD5A6F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44692"/>
    <w:multiLevelType w:val="hybridMultilevel"/>
    <w:tmpl w:val="37504B3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FCB76E0"/>
    <w:multiLevelType w:val="hybridMultilevel"/>
    <w:tmpl w:val="26224DB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4E4195"/>
    <w:multiLevelType w:val="hybridMultilevel"/>
    <w:tmpl w:val="5F769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7F1609"/>
    <w:multiLevelType w:val="multilevel"/>
    <w:tmpl w:val="E796E57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8">
    <w:nsid w:val="22990C0D"/>
    <w:multiLevelType w:val="hybridMultilevel"/>
    <w:tmpl w:val="F1AE294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3453922"/>
    <w:multiLevelType w:val="hybridMultilevel"/>
    <w:tmpl w:val="2D600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378629B"/>
    <w:multiLevelType w:val="hybridMultilevel"/>
    <w:tmpl w:val="290C3D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A556D0"/>
    <w:multiLevelType w:val="hybridMultilevel"/>
    <w:tmpl w:val="2DF69A6A"/>
    <w:lvl w:ilvl="0" w:tplc="B25058EE">
      <w:start w:val="1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305F5710"/>
    <w:multiLevelType w:val="multilevel"/>
    <w:tmpl w:val="E11C85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sz w:val="28"/>
      </w:rPr>
    </w:lvl>
  </w:abstractNum>
  <w:abstractNum w:abstractNumId="13">
    <w:nsid w:val="3134492E"/>
    <w:multiLevelType w:val="hybridMultilevel"/>
    <w:tmpl w:val="6E24F1B0"/>
    <w:lvl w:ilvl="0" w:tplc="040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32F76449"/>
    <w:multiLevelType w:val="hybridMultilevel"/>
    <w:tmpl w:val="33EC715A"/>
    <w:lvl w:ilvl="0" w:tplc="B25058EE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64E04BF"/>
    <w:multiLevelType w:val="hybridMultilevel"/>
    <w:tmpl w:val="C7664B30"/>
    <w:lvl w:ilvl="0" w:tplc="BFBC1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DD03F9"/>
    <w:multiLevelType w:val="hybridMultilevel"/>
    <w:tmpl w:val="30048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3638F8"/>
    <w:multiLevelType w:val="hybridMultilevel"/>
    <w:tmpl w:val="B50C119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417D079F"/>
    <w:multiLevelType w:val="hybridMultilevel"/>
    <w:tmpl w:val="38C65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7791F88"/>
    <w:multiLevelType w:val="hybridMultilevel"/>
    <w:tmpl w:val="979E113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0F">
      <w:start w:val="1"/>
      <w:numFmt w:val="decimal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E137494"/>
    <w:multiLevelType w:val="hybridMultilevel"/>
    <w:tmpl w:val="5880A552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0760C"/>
    <w:multiLevelType w:val="hybridMultilevel"/>
    <w:tmpl w:val="1CD2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8B6550"/>
    <w:multiLevelType w:val="hybridMultilevel"/>
    <w:tmpl w:val="F302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116C09"/>
    <w:multiLevelType w:val="hybridMultilevel"/>
    <w:tmpl w:val="75129558"/>
    <w:lvl w:ilvl="0" w:tplc="B25058EE">
      <w:start w:val="1"/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</w:rPr>
    </w:lvl>
    <w:lvl w:ilvl="1" w:tplc="F064C44C">
      <w:start w:val="1"/>
      <w:numFmt w:val="decimal"/>
      <w:lvlText w:val="%2."/>
      <w:lvlJc w:val="left"/>
      <w:pPr>
        <w:ind w:left="2651" w:hanging="851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8D106B8"/>
    <w:multiLevelType w:val="hybridMultilevel"/>
    <w:tmpl w:val="DBC6DCDE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E64028"/>
    <w:multiLevelType w:val="hybridMultilevel"/>
    <w:tmpl w:val="0B9CA560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A4851E7"/>
    <w:multiLevelType w:val="hybridMultilevel"/>
    <w:tmpl w:val="ACB67548"/>
    <w:lvl w:ilvl="0" w:tplc="B25058EE">
      <w:start w:val="1"/>
      <w:numFmt w:val="bullet"/>
      <w:lvlText w:val="-"/>
      <w:lvlJc w:val="left"/>
      <w:pPr>
        <w:ind w:left="13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7">
    <w:nsid w:val="5BBD2D66"/>
    <w:multiLevelType w:val="hybridMultilevel"/>
    <w:tmpl w:val="CAAA67F6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C3411E6"/>
    <w:multiLevelType w:val="hybridMultilevel"/>
    <w:tmpl w:val="A41A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F866CC"/>
    <w:multiLevelType w:val="hybridMultilevel"/>
    <w:tmpl w:val="4F06F4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62640E"/>
    <w:multiLevelType w:val="hybridMultilevel"/>
    <w:tmpl w:val="8E0C0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BA73D9C"/>
    <w:multiLevelType w:val="hybridMultilevel"/>
    <w:tmpl w:val="9BD249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474F2"/>
    <w:multiLevelType w:val="hybridMultilevel"/>
    <w:tmpl w:val="17881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044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15B10D6"/>
    <w:multiLevelType w:val="multilevel"/>
    <w:tmpl w:val="E796E57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4">
    <w:nsid w:val="73BF2A8B"/>
    <w:multiLevelType w:val="hybridMultilevel"/>
    <w:tmpl w:val="3E384134"/>
    <w:lvl w:ilvl="0" w:tplc="EC96FC28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4BF2075"/>
    <w:multiLevelType w:val="hybridMultilevel"/>
    <w:tmpl w:val="CE0C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23347C"/>
    <w:multiLevelType w:val="hybridMultilevel"/>
    <w:tmpl w:val="88F22C9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>
    <w:nsid w:val="7BF547D9"/>
    <w:multiLevelType w:val="hybridMultilevel"/>
    <w:tmpl w:val="057A58B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5"/>
  </w:num>
  <w:num w:numId="3">
    <w:abstractNumId w:val="17"/>
  </w:num>
  <w:num w:numId="4">
    <w:abstractNumId w:val="32"/>
  </w:num>
  <w:num w:numId="5">
    <w:abstractNumId w:val="1"/>
  </w:num>
  <w:num w:numId="6">
    <w:abstractNumId w:val="16"/>
  </w:num>
  <w:num w:numId="7">
    <w:abstractNumId w:val="9"/>
  </w:num>
  <w:num w:numId="8">
    <w:abstractNumId w:val="28"/>
  </w:num>
  <w:num w:numId="9">
    <w:abstractNumId w:val="25"/>
  </w:num>
  <w:num w:numId="10">
    <w:abstractNumId w:val="34"/>
  </w:num>
  <w:num w:numId="11">
    <w:abstractNumId w:val="23"/>
  </w:num>
  <w:num w:numId="12">
    <w:abstractNumId w:val="20"/>
  </w:num>
  <w:num w:numId="13">
    <w:abstractNumId w:val="26"/>
  </w:num>
  <w:num w:numId="14">
    <w:abstractNumId w:val="0"/>
  </w:num>
  <w:num w:numId="15">
    <w:abstractNumId w:val="24"/>
  </w:num>
  <w:num w:numId="16">
    <w:abstractNumId w:val="30"/>
  </w:num>
  <w:num w:numId="17">
    <w:abstractNumId w:val="14"/>
  </w:num>
  <w:num w:numId="18">
    <w:abstractNumId w:val="18"/>
  </w:num>
  <w:num w:numId="19">
    <w:abstractNumId w:val="37"/>
  </w:num>
  <w:num w:numId="20">
    <w:abstractNumId w:val="2"/>
  </w:num>
  <w:num w:numId="21">
    <w:abstractNumId w:val="5"/>
  </w:num>
  <w:num w:numId="22">
    <w:abstractNumId w:val="10"/>
  </w:num>
  <w:num w:numId="23">
    <w:abstractNumId w:val="27"/>
  </w:num>
  <w:num w:numId="24">
    <w:abstractNumId w:val="19"/>
  </w:num>
  <w:num w:numId="25">
    <w:abstractNumId w:val="21"/>
  </w:num>
  <w:num w:numId="26">
    <w:abstractNumId w:val="31"/>
  </w:num>
  <w:num w:numId="27">
    <w:abstractNumId w:val="3"/>
  </w:num>
  <w:num w:numId="28">
    <w:abstractNumId w:val="15"/>
  </w:num>
  <w:num w:numId="29">
    <w:abstractNumId w:val="11"/>
  </w:num>
  <w:num w:numId="30">
    <w:abstractNumId w:val="36"/>
  </w:num>
  <w:num w:numId="31">
    <w:abstractNumId w:val="22"/>
  </w:num>
  <w:num w:numId="32">
    <w:abstractNumId w:val="8"/>
  </w:num>
  <w:num w:numId="33">
    <w:abstractNumId w:val="13"/>
  </w:num>
  <w:num w:numId="34">
    <w:abstractNumId w:val="12"/>
  </w:num>
  <w:num w:numId="35">
    <w:abstractNumId w:val="4"/>
  </w:num>
  <w:num w:numId="36">
    <w:abstractNumId w:val="29"/>
  </w:num>
  <w:num w:numId="37">
    <w:abstractNumId w:val="6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1435D"/>
    <w:rsid w:val="00031C6F"/>
    <w:rsid w:val="000422F8"/>
    <w:rsid w:val="00047D06"/>
    <w:rsid w:val="00051E5E"/>
    <w:rsid w:val="00090DD2"/>
    <w:rsid w:val="00094852"/>
    <w:rsid w:val="000A3556"/>
    <w:rsid w:val="000A4BDB"/>
    <w:rsid w:val="0010053C"/>
    <w:rsid w:val="0011435D"/>
    <w:rsid w:val="00117077"/>
    <w:rsid w:val="00162783"/>
    <w:rsid w:val="00170978"/>
    <w:rsid w:val="0020752C"/>
    <w:rsid w:val="002131CD"/>
    <w:rsid w:val="00213D92"/>
    <w:rsid w:val="00243465"/>
    <w:rsid w:val="00247877"/>
    <w:rsid w:val="0026396B"/>
    <w:rsid w:val="002774AA"/>
    <w:rsid w:val="002A14D0"/>
    <w:rsid w:val="002A30D5"/>
    <w:rsid w:val="002B43B2"/>
    <w:rsid w:val="002C7F50"/>
    <w:rsid w:val="00336A72"/>
    <w:rsid w:val="00343F4D"/>
    <w:rsid w:val="003452C0"/>
    <w:rsid w:val="00353C0C"/>
    <w:rsid w:val="0035539A"/>
    <w:rsid w:val="003626C0"/>
    <w:rsid w:val="00372F3A"/>
    <w:rsid w:val="003B0EDA"/>
    <w:rsid w:val="003F5F3D"/>
    <w:rsid w:val="003F6985"/>
    <w:rsid w:val="00406CF8"/>
    <w:rsid w:val="00431B1B"/>
    <w:rsid w:val="00444FEA"/>
    <w:rsid w:val="00447B51"/>
    <w:rsid w:val="00456C45"/>
    <w:rsid w:val="004A4779"/>
    <w:rsid w:val="004B4F82"/>
    <w:rsid w:val="004C416A"/>
    <w:rsid w:val="004C6476"/>
    <w:rsid w:val="004E0CBA"/>
    <w:rsid w:val="00504BCB"/>
    <w:rsid w:val="00522165"/>
    <w:rsid w:val="005542B4"/>
    <w:rsid w:val="00556FF3"/>
    <w:rsid w:val="00564271"/>
    <w:rsid w:val="00587203"/>
    <w:rsid w:val="00590595"/>
    <w:rsid w:val="0059190A"/>
    <w:rsid w:val="005967C1"/>
    <w:rsid w:val="005B036B"/>
    <w:rsid w:val="005B4F0C"/>
    <w:rsid w:val="005C1E3F"/>
    <w:rsid w:val="005E0784"/>
    <w:rsid w:val="005E1ED3"/>
    <w:rsid w:val="005E4E45"/>
    <w:rsid w:val="005F1BB3"/>
    <w:rsid w:val="00620D53"/>
    <w:rsid w:val="006238D2"/>
    <w:rsid w:val="00636747"/>
    <w:rsid w:val="00640CAD"/>
    <w:rsid w:val="00694486"/>
    <w:rsid w:val="006F1D6E"/>
    <w:rsid w:val="00700663"/>
    <w:rsid w:val="00764F2A"/>
    <w:rsid w:val="0076691D"/>
    <w:rsid w:val="0079457C"/>
    <w:rsid w:val="007B718B"/>
    <w:rsid w:val="007C0D1B"/>
    <w:rsid w:val="007E0E0B"/>
    <w:rsid w:val="007F490A"/>
    <w:rsid w:val="007F6050"/>
    <w:rsid w:val="0084464A"/>
    <w:rsid w:val="0085384F"/>
    <w:rsid w:val="00863F88"/>
    <w:rsid w:val="00886946"/>
    <w:rsid w:val="0089595F"/>
    <w:rsid w:val="008E5E75"/>
    <w:rsid w:val="008E6858"/>
    <w:rsid w:val="008F79B6"/>
    <w:rsid w:val="009275B0"/>
    <w:rsid w:val="009628F9"/>
    <w:rsid w:val="00974703"/>
    <w:rsid w:val="009C69FA"/>
    <w:rsid w:val="009C6B8F"/>
    <w:rsid w:val="009D6FBC"/>
    <w:rsid w:val="009D7453"/>
    <w:rsid w:val="00A30B04"/>
    <w:rsid w:val="00A40466"/>
    <w:rsid w:val="00A41925"/>
    <w:rsid w:val="00A6298D"/>
    <w:rsid w:val="00A9318E"/>
    <w:rsid w:val="00AB02AE"/>
    <w:rsid w:val="00AB3807"/>
    <w:rsid w:val="00AB5B01"/>
    <w:rsid w:val="00AF3FEF"/>
    <w:rsid w:val="00B13157"/>
    <w:rsid w:val="00B43AD5"/>
    <w:rsid w:val="00B72200"/>
    <w:rsid w:val="00C003BF"/>
    <w:rsid w:val="00C02EAE"/>
    <w:rsid w:val="00C17809"/>
    <w:rsid w:val="00CB0266"/>
    <w:rsid w:val="00CB1593"/>
    <w:rsid w:val="00CC08EE"/>
    <w:rsid w:val="00CD34FA"/>
    <w:rsid w:val="00D04D60"/>
    <w:rsid w:val="00D60A65"/>
    <w:rsid w:val="00E01EE7"/>
    <w:rsid w:val="00E07A15"/>
    <w:rsid w:val="00E21039"/>
    <w:rsid w:val="00E32CC5"/>
    <w:rsid w:val="00E42320"/>
    <w:rsid w:val="00E6374A"/>
    <w:rsid w:val="00E6546B"/>
    <w:rsid w:val="00E7753F"/>
    <w:rsid w:val="00E870D3"/>
    <w:rsid w:val="00EA2808"/>
    <w:rsid w:val="00EC41FB"/>
    <w:rsid w:val="00EC42AF"/>
    <w:rsid w:val="00EF70F5"/>
    <w:rsid w:val="00F06E2E"/>
    <w:rsid w:val="00F102A0"/>
    <w:rsid w:val="00F41EE3"/>
    <w:rsid w:val="00F53D15"/>
    <w:rsid w:val="00FA59E6"/>
    <w:rsid w:val="00FB308F"/>
    <w:rsid w:val="00FB51D7"/>
    <w:rsid w:val="00FB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FBC"/>
  </w:style>
  <w:style w:type="paragraph" w:styleId="Heading1">
    <w:name w:val="heading 1"/>
    <w:basedOn w:val="Normal"/>
    <w:link w:val="Heading1Char"/>
    <w:uiPriority w:val="9"/>
    <w:qFormat/>
    <w:rsid w:val="0011435D"/>
    <w:pPr>
      <w:pBdr>
        <w:top w:val="single" w:sz="6" w:space="6" w:color="999999"/>
      </w:pBdr>
      <w:spacing w:before="60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paragraph" w:styleId="Heading2">
    <w:name w:val="heading 2"/>
    <w:basedOn w:val="Normal"/>
    <w:link w:val="Heading2Char"/>
    <w:uiPriority w:val="9"/>
    <w:qFormat/>
    <w:rsid w:val="0011435D"/>
    <w:pPr>
      <w:shd w:val="clear" w:color="auto" w:fill="EEEEEE"/>
      <w:spacing w:before="480" w:after="19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1435D"/>
    <w:pPr>
      <w:spacing w:before="480" w:after="144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1435D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11435D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35D"/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11435D"/>
    <w:rPr>
      <w:rFonts w:ascii="Times New Roman" w:eastAsia="Times New Roman" w:hAnsi="Times New Roman" w:cs="Times New Roman"/>
      <w:b/>
      <w:bCs/>
      <w:sz w:val="36"/>
      <w:szCs w:val="36"/>
      <w:shd w:val="clear" w:color="auto" w:fill="EEEEEE"/>
    </w:rPr>
  </w:style>
  <w:style w:type="character" w:customStyle="1" w:styleId="Heading3Char">
    <w:name w:val="Heading 3 Char"/>
    <w:basedOn w:val="DefaultParagraphFont"/>
    <w:link w:val="Heading3"/>
    <w:uiPriority w:val="9"/>
    <w:rsid w:val="0011435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143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1435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435D"/>
    <w:rPr>
      <w:strike w:val="0"/>
      <w:dstrike w:val="0"/>
      <w:color w:val="1155CC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1435D"/>
    <w:rPr>
      <w:strike w:val="0"/>
      <w:dstrike w:val="0"/>
      <w:color w:val="6611CC"/>
      <w:u w:val="none"/>
      <w:effect w:val="none"/>
    </w:rPr>
  </w:style>
  <w:style w:type="paragraph" w:customStyle="1" w:styleId="gblb">
    <w:name w:val="gb_l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">
    <w:name w:val="gb_f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">
    <w:name w:val="gb_l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">
    <w:name w:val="gb_m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">
    <w:name w:val="gb_j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rc">
    <w:name w:val="gb_r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">
    <w:name w:val="gb_zb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vc">
    <w:name w:val="gb_v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">
    <w:name w:val="gb_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">
    <w:name w:val="gb_r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">
    <w:name w:val="gb_h"/>
    <w:basedOn w:val="Normal"/>
    <w:rsid w:val="0011435D"/>
    <w:pPr>
      <w:spacing w:before="120" w:after="120" w:line="240" w:lineRule="auto"/>
      <w:ind w:left="30" w:right="3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bw">
    <w:name w:val="gb_w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a">
    <w:name w:val="gb_a"/>
    <w:basedOn w:val="Normal"/>
    <w:rsid w:val="0011435D"/>
    <w:pPr>
      <w:pBdr>
        <w:righ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">
    <w:name w:val="gb_b"/>
    <w:basedOn w:val="Normal"/>
    <w:rsid w:val="0011435D"/>
    <w:pPr>
      <w:pBdr>
        <w:lef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">
    <w:name w:val="gb_l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">
    <w:name w:val="gb_i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">
    <w:name w:val="gb_m"/>
    <w:basedOn w:val="Normal"/>
    <w:rsid w:val="0011435D"/>
    <w:pPr>
      <w:pBdr>
        <w:bottom w:val="single" w:sz="6" w:space="0" w:color="EBEBEB"/>
      </w:pBdr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u">
    <w:name w:val="gb_u"/>
    <w:basedOn w:val="Normal"/>
    <w:rsid w:val="0011435D"/>
    <w:pPr>
      <w:spacing w:after="420" w:line="240" w:lineRule="auto"/>
      <w:ind w:left="420" w:right="4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">
    <w:name w:val="gb_x"/>
    <w:basedOn w:val="Normal"/>
    <w:rsid w:val="0011435D"/>
    <w:pPr>
      <w:spacing w:before="120" w:after="120" w:line="240" w:lineRule="auto"/>
      <w:ind w:left="120"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">
    <w:name w:val="gb_v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1">
    <w:name w:val="gb_1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before="100" w:beforeAutospacing="1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2">
    <w:name w:val="gb_2"/>
    <w:basedOn w:val="Normal"/>
    <w:rsid w:val="0011435D"/>
    <w:pPr>
      <w:pBdr>
        <w:top w:val="single" w:sz="6" w:space="0" w:color="4285F4"/>
        <w:left w:val="single" w:sz="6" w:space="0" w:color="4285F4"/>
        <w:bottom w:val="single" w:sz="6" w:space="0" w:color="4285F4"/>
        <w:right w:val="single" w:sz="6" w:space="0" w:color="4285F4"/>
      </w:pBdr>
      <w:shd w:val="clear" w:color="auto" w:fill="4285F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3">
    <w:name w:val="gb_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">
    <w:name w:val="gb_9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">
    <w:name w:val="gb_ca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">
    <w:name w:val="gb_fa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a">
    <w:name w:val="gb_qa"/>
    <w:basedOn w:val="Normal"/>
    <w:rsid w:val="0011435D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a">
    <w:name w:val="gb_ra"/>
    <w:basedOn w:val="Normal"/>
    <w:rsid w:val="0011435D"/>
    <w:pPr>
      <w:spacing w:before="100" w:beforeAutospacing="1" w:after="100" w:afterAutospacing="1" w:line="240" w:lineRule="auto"/>
      <w:ind w:right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a">
    <w:name w:val="gb_s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a">
    <w:name w:val="gb_ba"/>
    <w:basedOn w:val="Normal"/>
    <w:rsid w:val="0011435D"/>
    <w:pPr>
      <w:pBdr>
        <w:top w:val="single" w:sz="6" w:space="8" w:color="CC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a">
    <w:name w:val="gb_ta"/>
    <w:basedOn w:val="Normal"/>
    <w:rsid w:val="0011435D"/>
    <w:pPr>
      <w:spacing w:before="100" w:beforeAutospacing="1" w:after="100" w:afterAutospacing="1" w:line="135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4"/>
      <w:szCs w:val="14"/>
    </w:rPr>
  </w:style>
  <w:style w:type="paragraph" w:customStyle="1" w:styleId="gbua">
    <w:name w:val="gb_ua"/>
    <w:basedOn w:val="Normal"/>
    <w:rsid w:val="0011435D"/>
    <w:pPr>
      <w:spacing w:after="1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va">
    <w:name w:val="gb_v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pa">
    <w:name w:val="gb_pa"/>
    <w:basedOn w:val="Normal"/>
    <w:rsid w:val="0011435D"/>
    <w:pPr>
      <w:spacing w:before="90" w:after="90" w:line="300" w:lineRule="atLeast"/>
    </w:pPr>
    <w:rPr>
      <w:rFonts w:ascii="Times New Roman" w:eastAsia="Times New Roman" w:hAnsi="Times New Roman" w:cs="Times New Roman"/>
      <w:color w:val="AAAAAA"/>
      <w:sz w:val="20"/>
      <w:szCs w:val="20"/>
    </w:rPr>
  </w:style>
  <w:style w:type="paragraph" w:customStyle="1" w:styleId="gbwa">
    <w:name w:val="gb_wa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adiv">
    <w:name w:val="gb_wa&gt;div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a">
    <w:name w:val="gb_za"/>
    <w:basedOn w:val="Normal"/>
    <w:rsid w:val="0011435D"/>
    <w:pPr>
      <w:shd w:val="clear" w:color="auto" w:fill="FEF9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boa">
    <w:name w:val="gb_oa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a">
    <w:name w:val="gb_aa"/>
    <w:basedOn w:val="Normal"/>
    <w:rsid w:val="0011435D"/>
    <w:pPr>
      <w:pBdr>
        <w:top w:val="single" w:sz="6" w:space="0" w:color="CCCCCC"/>
      </w:pBd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a">
    <w:name w:val="gb_d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ha">
    <w:name w:val="gb_h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bia">
    <w:name w:val="gb_i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ja">
    <w:name w:val="gb_ja"/>
    <w:basedOn w:val="Normal"/>
    <w:rsid w:val="0011435D"/>
    <w:pPr>
      <w:pBdr>
        <w:top w:val="single" w:sz="6" w:space="8" w:color="CCCCC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a">
    <w:name w:val="gb_ka"/>
    <w:basedOn w:val="Normal"/>
    <w:rsid w:val="0011435D"/>
    <w:pPr>
      <w:spacing w:before="15" w:after="15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a">
    <w:name w:val="gb_1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3a">
    <w:name w:val="gb_3a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5a">
    <w:name w:val="gb_5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a">
    <w:name w:val="gb_9a"/>
    <w:basedOn w:val="Normal"/>
    <w:rsid w:val="0011435D"/>
    <w:pP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eb">
    <w:name w:val="gb_eb"/>
    <w:basedOn w:val="Normal"/>
    <w:rsid w:val="0011435D"/>
    <w:pPr>
      <w:spacing w:before="420" w:after="0" w:line="240" w:lineRule="auto"/>
      <w:ind w:left="420" w:right="42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db">
    <w:name w:val="gb_db"/>
    <w:basedOn w:val="Normal"/>
    <w:rsid w:val="0011435D"/>
    <w:pPr>
      <w:spacing w:before="180" w:after="180" w:line="240" w:lineRule="auto"/>
      <w:ind w:left="180" w:right="1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gb">
    <w:name w:val="gb_gb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b">
    <w:name w:val="gb_hb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262626"/>
      <w:sz w:val="24"/>
      <w:szCs w:val="24"/>
    </w:rPr>
  </w:style>
  <w:style w:type="paragraph" w:customStyle="1" w:styleId="gbib">
    <w:name w:val="gb_ib"/>
    <w:basedOn w:val="Normal"/>
    <w:rsid w:val="0011435D"/>
    <w:pPr>
      <w:spacing w:before="100" w:beforeAutospacing="1" w:after="100" w:afterAutospacing="1" w:line="270" w:lineRule="atLeast"/>
    </w:pPr>
    <w:rPr>
      <w:rFonts w:ascii="Arial" w:eastAsia="Times New Roman" w:hAnsi="Arial" w:cs="Arial"/>
      <w:color w:val="737373"/>
      <w:sz w:val="20"/>
      <w:szCs w:val="20"/>
    </w:rPr>
  </w:style>
  <w:style w:type="paragraph" w:customStyle="1" w:styleId="gbpb">
    <w:name w:val="gb_p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">
    <w:name w:val="gb_qb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brb">
    <w:name w:val="gb_rb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sb">
    <w:name w:val="gb_sb"/>
    <w:basedOn w:val="Normal"/>
    <w:rsid w:val="0011435D"/>
    <w:pPr>
      <w:spacing w:before="15" w:after="100" w:afterAutospacing="1" w:line="240" w:lineRule="auto"/>
      <w:ind w:lef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b">
    <w:name w:val="gb_v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b">
    <w:name w:val="gb_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b">
    <w:name w:val="gb_xb"/>
    <w:basedOn w:val="Normal"/>
    <w:rsid w:val="0011435D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b">
    <w:name w:val="gb_ab"/>
    <w:basedOn w:val="Normal"/>
    <w:rsid w:val="0011435D"/>
    <w:pPr>
      <w:shd w:val="clear" w:color="auto" w:fill="4D90FE"/>
      <w:spacing w:before="100" w:beforeAutospacing="1" w:after="100" w:afterAutospacing="1" w:line="285" w:lineRule="atLeast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gbcb">
    <w:name w:val="gb_cb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b">
    <w:name w:val="gb_k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fb">
    <w:name w:val="gbqf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ba">
    <w:name w:val="gbqfba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qfbb">
    <w:name w:val="gbqfb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f">
    <w:name w:val="gbqff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">
    <w:name w:val="gbqfqw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a">
    <w:name w:val="gbqfw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b">
    <w:name w:val="gbqfq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">
    <w:name w:val="gbqfi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b">
    <w:name w:val="gbqf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c">
    <w:name w:val="gbqf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f">
    <w:name w:val="gbqfi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qfsf">
    <w:name w:val="gbqfs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kc">
    <w:name w:val="gb_k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c">
    <w:name w:val="gb_lc"/>
    <w:basedOn w:val="Normal"/>
    <w:rsid w:val="0011435D"/>
    <w:pPr>
      <w:shd w:val="clear" w:color="auto" w:fill="E7E7E7"/>
      <w:spacing w:before="100" w:beforeAutospacing="1" w:after="100" w:afterAutospacing="1" w:line="45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oc">
    <w:name w:val="gb_oc"/>
    <w:basedOn w:val="Normal"/>
    <w:rsid w:val="0011435D"/>
    <w:pPr>
      <w:pBdr>
        <w:left w:val="single" w:sz="6" w:space="0" w:color="E3E3E3"/>
        <w:bottom w:val="single" w:sz="6" w:space="0" w:color="E3E3E3"/>
      </w:pBdr>
      <w:shd w:val="clear" w:color="auto" w:fill="EEEEEE"/>
      <w:spacing w:before="100" w:beforeAutospacing="1" w:after="100" w:afterAutospacing="1" w:line="48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pc">
    <w:name w:val="gb_p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c">
    <w:name w:val="gb_q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c">
    <w:name w:val="gb_s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c">
    <w:name w:val="gb_t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uc">
    <w:name w:val="gb_uc"/>
    <w:basedOn w:val="Normal"/>
    <w:rsid w:val="0011435D"/>
    <w:pPr>
      <w:spacing w:before="100" w:beforeAutospacing="1" w:after="100" w:afterAutospacing="1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c">
    <w:name w:val="gb_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c">
    <w:name w:val="gb_x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c">
    <w:name w:val="gb_y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c">
    <w:name w:val="gb_zc"/>
    <w:basedOn w:val="Normal"/>
    <w:rsid w:val="0011435D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c">
    <w:name w:val="gb_a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c">
    <w:name w:val="gb_bc"/>
    <w:basedOn w:val="Normal"/>
    <w:rsid w:val="0011435D"/>
    <w:pPr>
      <w:pBdr>
        <w:top w:val="single" w:sz="6" w:space="0" w:color="E3E3E3"/>
      </w:pBd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">
    <w:name w:val="gb_c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c">
    <w:name w:val="gb_d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c">
    <w:name w:val="gb_e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">
    <w:name w:val="gb_f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c">
    <w:name w:val="gb_i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c">
    <w:name w:val="gb_j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">
    <w:name w:val="gb_h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">
    <w:name w:val="gb_ea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nc">
    <w:name w:val="gb_n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">
    <w:name w:val="gbii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">
    <w:name w:val="gbi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0">
    <w:name w:val="gbm"/>
    <w:basedOn w:val="Normal"/>
    <w:rsid w:val="0011435D"/>
    <w:pPr>
      <w:pBdr>
        <w:top w:val="single" w:sz="6" w:space="0" w:color="BEBEBE"/>
        <w:left w:val="single" w:sz="6" w:space="0" w:color="BEBEBE"/>
        <w:bottom w:val="single" w:sz="6" w:space="0" w:color="BEBEBE"/>
        <w:right w:val="single" w:sz="6" w:space="0" w:color="BEBEB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">
    <w:name w:val="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form-title">
    <w:name w:val="ss-form-title"/>
    <w:basedOn w:val="Normal"/>
    <w:rsid w:val="0011435D"/>
    <w:pPr>
      <w:spacing w:before="161" w:after="16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form-desc">
    <w:name w:val="ss-form-desc"/>
    <w:basedOn w:val="Normal"/>
    <w:rsid w:val="0011435D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powered-by">
    <w:name w:val="ss-powered-by"/>
    <w:basedOn w:val="Normal"/>
    <w:rsid w:val="0011435D"/>
    <w:pPr>
      <w:spacing w:before="240" w:after="48" w:line="240" w:lineRule="auto"/>
      <w:ind w:left="48" w:right="48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required-asterisk">
    <w:name w:val="ss-required-asteris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43B1D"/>
      <w:sz w:val="24"/>
      <w:szCs w:val="24"/>
    </w:rPr>
  </w:style>
  <w:style w:type="paragraph" w:customStyle="1" w:styleId="form-error-arg">
    <w:name w:val="form-error-ar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ia-only-help">
    <w:name w:val="aria-only-hel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ss-printable-hint">
    <w:name w:val="ss-printable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-doc">
    <w:name w:val="g-do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">
    <w:name w:val="g-sec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tpl-nest">
    <w:name w:val="g-tpl-ne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1024">
    <w:name w:val="g-doc-10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800">
    <w:name w:val="g-doc-80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">
    <w:name w:val="goog-toolbar"/>
    <w:basedOn w:val="Normal"/>
    <w:rsid w:val="0011435D"/>
    <w:pPr>
      <w:pBdr>
        <w:top w:val="single" w:sz="6" w:space="6" w:color="E5E5E5"/>
        <w:bottom w:val="single" w:sz="6" w:space="3" w:color="EBEBEB"/>
      </w:pBdr>
      <w:shd w:val="clear" w:color="auto" w:fill="F5F5F5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">
    <w:name w:val="goog-toolbar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menu-button">
    <w:name w:val="goog-toolbar-menu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button-outer-box">
    <w:name w:val="goog-toolbar-button-outer-box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">
    <w:name w:val="goog-toolbar-menu-button-inner-box"/>
    <w:basedOn w:val="Normal"/>
    <w:rsid w:val="0011435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">
    <w:name w:val="goog-toolbar-menu-button-outer-box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">
    <w:name w:val="goog-toolbar-button-inner-box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hover">
    <w:name w:val="goog-toolbar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active">
    <w:name w:val="goog-toolbar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checked">
    <w:name w:val="goog-toolbar-button-check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selected">
    <w:name w:val="goog-toolbar-button-select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hover">
    <w:name w:val="goog-toolbar-menu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open">
    <w:name w:val="goog-toolbar-menu-button-open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active">
    <w:name w:val="goog-toolbar-menu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right">
    <w:name w:val="goog-toolbar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left">
    <w:name w:val="goog-toolbar-button-collapse-lef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">
    <w:name w:val="goog-toolbar-menu-button-dropdown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separator">
    <w:name w:val="goog-toolbar-separator"/>
    <w:basedOn w:val="Normal"/>
    <w:rsid w:val="0011435D"/>
    <w:pPr>
      <w:pBdr>
        <w:left w:val="single" w:sz="6" w:space="0" w:color="CCCCCC"/>
      </w:pBdr>
      <w:spacing w:after="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">
    <w:name w:val="goog-toolbar-menu-button-caption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lor-menu-button-indicator">
    <w:name w:val="goog-color-menu-button-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button-split-sympathy-hover">
    <w:name w:val="docs-toolbar-button-split-sympathy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split-create-button">
    <w:name w:val="docs-toolbar-split-create-button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more-toolbar">
    <w:name w:val="docs-toolbar-more-toolbar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">
    <w:name w:val="docs-collapsable-toolba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-control">
    <w:name w:val="docs-collapsable-toolbar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exteventtarget-iframe">
    <w:name w:val="docs-texteventtarge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">
    <w:name w:val="goog-menu"/>
    <w:basedOn w:val="Normal"/>
    <w:rsid w:val="0011435D"/>
    <w:pPr>
      <w:pBdr>
        <w:top w:val="single" w:sz="6" w:space="5" w:color="CCCCCC"/>
        <w:left w:val="single" w:sz="6" w:space="0" w:color="CCCCCC"/>
        <w:bottom w:val="single" w:sz="6" w:space="5" w:color="CCCCCC"/>
        <w:right w:val="single" w:sz="6" w:space="0" w:color="CCCCCC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oog-menuitem">
    <w:name w:val="goog-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tristatemenuitem">
    <w:name w:val="goog-tristate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filterobsmenuitem">
    <w:name w:val="goog-filterobs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highlight">
    <w:name w:val="goog-menuitem-highlight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hover">
    <w:name w:val="goog-menuitem-hover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heckbox">
    <w:name w:val="goog-menuitem-checkbox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icon">
    <w:name w:val="goog-menuitem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option-selected">
    <w:name w:val="goog-option-select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">
    <w:name w:val="goog-menuitem-accel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menuitem-mnemonic-hint">
    <w:name w:val="goog-menuitem-mnemonic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goog-menuitem-mnemonic-separator">
    <w:name w:val="goog-menuitem-mnemonic-separ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goog-menuseparator">
    <w:name w:val="goog-menuseparator"/>
    <w:basedOn w:val="Normal"/>
    <w:rsid w:val="0011435D"/>
    <w:pPr>
      <w:pBdr>
        <w:top w:val="single" w:sz="6" w:space="0" w:color="EBEBEB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extinput">
    <w:name w:val="jfk-textinput"/>
    <w:basedOn w:val="Normal"/>
    <w:rsid w:val="0011435D"/>
    <w:pPr>
      <w:pBdr>
        <w:top w:val="single" w:sz="6" w:space="1" w:color="C0C0C0"/>
        <w:left w:val="single" w:sz="6" w:space="6" w:color="D9D9D9"/>
        <w:bottom w:val="single" w:sz="6" w:space="1" w:color="D9D9D9"/>
        <w:right w:val="single" w:sz="6" w:space="6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erbar">
    <w:name w:val="jfk-butterbar"/>
    <w:basedOn w:val="Normal"/>
    <w:rsid w:val="0011435D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butterbar-info">
    <w:name w:val="jfk-butterbar-info"/>
    <w:basedOn w:val="Normal"/>
    <w:rsid w:val="0011435D"/>
    <w:pPr>
      <w:shd w:val="clear" w:color="auto" w:fill="F9ED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error">
    <w:name w:val="jfk-butterbar-error"/>
    <w:basedOn w:val="Normal"/>
    <w:rsid w:val="0011435D"/>
    <w:pPr>
      <w:shd w:val="clear" w:color="auto" w:fill="48484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promo">
    <w:name w:val="jfk-butterbar-promo"/>
    <w:basedOn w:val="Normal"/>
    <w:rsid w:val="0011435D"/>
    <w:pPr>
      <w:shd w:val="clear" w:color="auto" w:fill="D6E9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warning">
    <w:name w:val="jfk-butterbar-warning"/>
    <w:basedOn w:val="Normal"/>
    <w:rsid w:val="0011435D"/>
    <w:pPr>
      <w:shd w:val="clear" w:color="auto" w:fill="DD4B3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shown">
    <w:name w:val="jfk-butterbar-sh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container">
    <w:name w:val="docs-butterbar-contain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s-butterbar-wrap">
    <w:name w:val="docs-butterbar-wra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link">
    <w:name w:val="docs-butterbar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butterbar-link-no-pad">
    <w:name w:val="docs-butterbar-link-no-pa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exp">
    <w:name w:val="docs-exp"/>
    <w:basedOn w:val="Normal"/>
    <w:rsid w:val="0011435D"/>
    <w:pPr>
      <w:pBdr>
        <w:top w:val="single" w:sz="6" w:space="0" w:color="880000"/>
        <w:left w:val="single" w:sz="6" w:space="4" w:color="880000"/>
        <w:bottom w:val="single" w:sz="6" w:space="0" w:color="880000"/>
        <w:right w:val="single" w:sz="6" w:space="4" w:color="880000"/>
      </w:pBdr>
      <w:spacing w:before="100" w:beforeAutospacing="1" w:after="100" w:afterAutospacing="1" w:line="240" w:lineRule="auto"/>
      <w:ind w:right="120"/>
      <w:jc w:val="center"/>
    </w:pPr>
    <w:rPr>
      <w:rFonts w:ascii="Times New Roman" w:eastAsia="Times New Roman" w:hAnsi="Times New Roman" w:cs="Times New Roman"/>
      <w:color w:val="880000"/>
      <w:sz w:val="17"/>
      <w:szCs w:val="17"/>
    </w:rPr>
  </w:style>
  <w:style w:type="paragraph" w:customStyle="1" w:styleId="docs-exp-link">
    <w:name w:val="docs-exp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0000"/>
      <w:sz w:val="24"/>
      <w:szCs w:val="24"/>
    </w:rPr>
  </w:style>
  <w:style w:type="paragraph" w:customStyle="1" w:styleId="docs-butter">
    <w:name w:val="docs-butt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-inner">
    <w:name w:val="docs-butter-inner"/>
    <w:basedOn w:val="Normal"/>
    <w:rsid w:val="0011435D"/>
    <w:pPr>
      <w:spacing w:after="75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ocs-butter-info">
    <w:name w:val="docs-butter-info"/>
    <w:basedOn w:val="Normal"/>
    <w:rsid w:val="0011435D"/>
    <w:pPr>
      <w:shd w:val="clear" w:color="auto" w:fill="F6BC5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docs-butter-info-link">
    <w:name w:val="docs-butter-info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658B5"/>
      <w:sz w:val="24"/>
      <w:szCs w:val="24"/>
    </w:rPr>
  </w:style>
  <w:style w:type="paragraph" w:customStyle="1" w:styleId="docs-butter-warning">
    <w:name w:val="docs-butter-warning"/>
    <w:basedOn w:val="Normal"/>
    <w:rsid w:val="0011435D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docs-butter-warning-link">
    <w:name w:val="docs-butter-warning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3D9FF"/>
      <w:sz w:val="24"/>
      <w:szCs w:val="24"/>
    </w:rPr>
  </w:style>
  <w:style w:type="paragraph" w:customStyle="1" w:styleId="docs-fading-toolbar-message">
    <w:name w:val="docs-fading-toolbar-message"/>
    <w:basedOn w:val="Normal"/>
    <w:rsid w:val="0011435D"/>
    <w:pPr>
      <w:pBdr>
        <w:top w:val="single" w:sz="2" w:space="0" w:color="999999"/>
        <w:left w:val="single" w:sz="2" w:space="0" w:color="999999"/>
        <w:bottom w:val="single" w:sz="6" w:space="0" w:color="999999"/>
        <w:right w:val="single" w:sz="2" w:space="0" w:color="999999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999999"/>
      <w:sz w:val="42"/>
      <w:szCs w:val="42"/>
    </w:rPr>
  </w:style>
  <w:style w:type="paragraph" w:customStyle="1" w:styleId="docs-title-outer">
    <w:name w:val="docs-title-outer"/>
    <w:basedOn w:val="Normal"/>
    <w:rsid w:val="0011435D"/>
    <w:pPr>
      <w:spacing w:before="100" w:beforeAutospacing="1" w:after="100" w:afterAutospacing="1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inner">
    <w:name w:val="docs-title-inner"/>
    <w:basedOn w:val="Normal"/>
    <w:rsid w:val="0011435D"/>
    <w:pPr>
      <w:spacing w:before="30" w:after="15" w:line="240" w:lineRule="auto"/>
      <w:ind w:left="45" w:right="60"/>
    </w:pPr>
    <w:rPr>
      <w:rFonts w:ascii="Times New Roman" w:eastAsia="Times New Roman" w:hAnsi="Times New Roman" w:cs="Times New Roman"/>
      <w:color w:val="333333"/>
      <w:sz w:val="27"/>
      <w:szCs w:val="27"/>
    </w:rPr>
  </w:style>
  <w:style w:type="paragraph" w:customStyle="1" w:styleId="docs-title-untitled">
    <w:name w:val="docs-title-untit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777777"/>
      <w:sz w:val="24"/>
      <w:szCs w:val="24"/>
    </w:rPr>
  </w:style>
  <w:style w:type="paragraph" w:customStyle="1" w:styleId="docs-title-widget">
    <w:name w:val="docs-title-widge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ack-container">
    <w:name w:val="docs-back-container"/>
    <w:basedOn w:val="Normal"/>
    <w:rsid w:val="0011435D"/>
    <w:pPr>
      <w:spacing w:before="15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star-container">
    <w:name w:val="docs-sta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older-container">
    <w:name w:val="docs-folde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activity-indicator-container">
    <w:name w:val="docs-activity-indicato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">
    <w:name w:val="docs-title-save-label"/>
    <w:basedOn w:val="Normal"/>
    <w:rsid w:val="0011435D"/>
    <w:pPr>
      <w:spacing w:before="100" w:beforeAutospacing="1" w:after="100" w:afterAutospacing="1" w:line="240" w:lineRule="auto"/>
      <w:ind w:left="210"/>
      <w:textAlignment w:val="bottom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docs-debug-info">
    <w:name w:val="docs-debug-inf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docs-debug-container">
    <w:name w:val="docs-debug-container"/>
    <w:basedOn w:val="Normal"/>
    <w:rsid w:val="0011435D"/>
    <w:pPr>
      <w:spacing w:before="100" w:beforeAutospacing="1" w:after="100" w:afterAutospacing="1" w:line="240" w:lineRule="auto"/>
      <w:ind w:righ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bar-buttons">
    <w:name w:val="docs-titlebar-buttons"/>
    <w:basedOn w:val="Normal"/>
    <w:rsid w:val="00114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menubar">
    <w:name w:val="docs-menubar"/>
    <w:basedOn w:val="Normal"/>
    <w:rsid w:val="0011435D"/>
    <w:pPr>
      <w:spacing w:before="100" w:beforeAutospacing="1" w:after="100" w:afterAutospacing="1" w:line="240" w:lineRule="auto"/>
      <w:ind w:left="780"/>
    </w:pPr>
    <w:rPr>
      <w:rFonts w:ascii="Arial" w:eastAsia="Times New Roman" w:hAnsi="Arial" w:cs="Arial"/>
      <w:sz w:val="20"/>
      <w:szCs w:val="20"/>
    </w:rPr>
  </w:style>
  <w:style w:type="paragraph" w:customStyle="1" w:styleId="docs-gaia-disabled">
    <w:name w:val="docs-gaia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docs-hide-label">
    <w:name w:val="docs-hide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title-save-label-focused">
    <w:name w:val="docs-title-save-label-focus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docs-rename-dialog">
    <w:name w:val="docs-rename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edit-description-dialog">
    <w:name w:val="docs-edit-description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aux-link">
    <w:name w:val="docs-faux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</w:rPr>
  </w:style>
  <w:style w:type="paragraph" w:customStyle="1" w:styleId="collections-bubble-header">
    <w:name w:val="collections-bubble-head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llections-bubble-list">
    <w:name w:val="collections-bubble-li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ections-bubble-none">
    <w:name w:val="collections-bubble-non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collections-bubble-row">
    <w:name w:val="collections-bubble-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">
    <w:name w:val="jfk-activity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icon">
    <w:name w:val="jfk-activityindicator-ic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">
    <w:name w:val="jfk-activityindicator-circ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-transition">
    <w:name w:val="jfk-activityindicator-circle-transi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">
    <w:name w:val="jfk-bubble"/>
    <w:basedOn w:val="Normal"/>
    <w:rsid w:val="0011435D"/>
    <w:pPr>
      <w:pBdr>
        <w:top w:val="single" w:sz="6" w:space="12" w:color="BBBBBB"/>
        <w:left w:val="single" w:sz="6" w:space="12" w:color="BBBBBB"/>
        <w:bottom w:val="single" w:sz="6" w:space="12" w:color="A8A8A8"/>
        <w:right w:val="single" w:sz="6" w:space="12" w:color="BBBBBB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closebtn">
    <w:name w:val="jfk-bubble-closebt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">
    <w:name w:val="jfk-button"/>
    <w:basedOn w:val="Normal"/>
    <w:rsid w:val="0011435D"/>
    <w:pPr>
      <w:spacing w:before="100" w:beforeAutospacing="1" w:after="100" w:afterAutospacing="1" w:line="405" w:lineRule="atLeast"/>
      <w:ind w:right="24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jfk-button-label">
    <w:name w:val="jfk-button-label"/>
    <w:basedOn w:val="Normal"/>
    <w:rsid w:val="0011435D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narrow">
    <w:name w:val="jfk-button-nar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left">
    <w:name w:val="jfk-button-collapse-left"/>
    <w:basedOn w:val="Normal"/>
    <w:rsid w:val="0011435D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right">
    <w:name w:val="jfk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standard">
    <w:name w:val="jfk-button-standard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action">
    <w:name w:val="jfk-button-action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checkbox">
    <w:name w:val="jfk-checkbox"/>
    <w:basedOn w:val="Normal"/>
    <w:rsid w:val="0011435D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after="0" w:line="240" w:lineRule="auto"/>
      <w:ind w:left="15" w:right="60"/>
      <w:textAlignment w:val="bottom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jfk-checkbox-undetermined">
    <w:name w:val="jfk-checkbox-undetermin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ed">
    <w:name w:val="jfk-checkbox-check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hover">
    <w:name w:val="jfk-checkbox-hover"/>
    <w:basedOn w:val="Normal"/>
    <w:rsid w:val="0011435D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active">
    <w:name w:val="jfk-checkbox-active"/>
    <w:basedOn w:val="Normal"/>
    <w:rsid w:val="0011435D"/>
    <w:pPr>
      <w:shd w:val="clear" w:color="auto" w:fill="EBEBE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focused">
    <w:name w:val="jfk-checkbox-focused"/>
    <w:basedOn w:val="Normal"/>
    <w:rsid w:val="0011435D"/>
    <w:pPr>
      <w:pBdr>
        <w:top w:val="single" w:sz="6" w:space="0" w:color="4D90FE"/>
        <w:left w:val="single" w:sz="6" w:space="0" w:color="4D90FE"/>
        <w:bottom w:val="single" w:sz="6" w:space="0" w:color="4D90FE"/>
        <w:right w:val="single" w:sz="6" w:space="0" w:color="4D90F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">
    <w:name w:val="jfk-checkbox-checkmar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odalpopup">
    <w:name w:val="goog-modalpopup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">
    <w:name w:val="modal-dialog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modalpopup-bg">
    <w:name w:val="goog-modalpopup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g">
    <w:name w:val="modal-dialog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">
    <w:name w:val="modal-dialog-title"/>
    <w:basedOn w:val="Normal"/>
    <w:rsid w:val="0011435D"/>
    <w:pPr>
      <w:shd w:val="clear" w:color="auto" w:fill="FFFFFF"/>
      <w:spacing w:after="240" w:line="36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odal-dialog-title-close">
    <w:name w:val="modal-dialog-title-clos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">
    <w:name w:val="modal-dialog-content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">
    <w:name w:val="modal-dialog-buttons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lert">
    <w:name w:val="jfk-aler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onfirm">
    <w:name w:val="jfk-confirm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prompt">
    <w:name w:val="jfk-promp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">
    <w:name w:val="goog-flat-menu-button"/>
    <w:basedOn w:val="Normal"/>
    <w:rsid w:val="0011435D"/>
    <w:pPr>
      <w:pBdr>
        <w:top w:val="single" w:sz="6" w:space="0" w:color="DCDCDC"/>
        <w:left w:val="single" w:sz="6" w:space="5" w:color="DCDCDC"/>
        <w:bottom w:val="single" w:sz="6" w:space="0" w:color="DCDCDC"/>
        <w:right w:val="single" w:sz="6" w:space="14" w:color="DCDCDC"/>
      </w:pBdr>
      <w:shd w:val="clear" w:color="auto" w:fill="F5F5F5"/>
      <w:spacing w:after="0" w:line="405" w:lineRule="atLeast"/>
      <w:ind w:left="30" w:right="30"/>
      <w:jc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flat-menu-button-disabled">
    <w:name w:val="goog-flat-menu-button-disabl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goog-flat-menu-button-caption">
    <w:name w:val="goog-flat-menu-button-cap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dropdown">
    <w:name w:val="goog-flat-menu-button-dropdown"/>
    <w:basedOn w:val="Normal"/>
    <w:rsid w:val="0011435D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left">
    <w:name w:val="goog-flat-menu-button-collapse-left"/>
    <w:basedOn w:val="Normal"/>
    <w:rsid w:val="0011435D"/>
    <w:pPr>
      <w:spacing w:before="100" w:beforeAutospacing="1" w:after="100" w:afterAutospacing="1" w:line="240" w:lineRule="auto"/>
      <w:ind w:left="-1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right">
    <w:name w:val="goog-flat-menu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">
    <w:name w:val="goog-submenu-arrow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">
    <w:name w:val="jfk-radiobutt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">
    <w:name w:val="jfk-radiobutton-radio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star">
    <w:name w:val="jfk-sta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">
    <w:name w:val="jfk-tooltip"/>
    <w:basedOn w:val="Normal"/>
    <w:rsid w:val="0011435D"/>
    <w:pPr>
      <w:pBdr>
        <w:top w:val="single" w:sz="6" w:space="5" w:color="FFFFFF"/>
        <w:left w:val="single" w:sz="6" w:space="7" w:color="FFFFFF"/>
        <w:bottom w:val="single" w:sz="6" w:space="5" w:color="FFFFFF"/>
        <w:right w:val="single" w:sz="6" w:space="7" w:color="FFFFFF"/>
      </w:pBdr>
      <w:shd w:val="clear" w:color="auto" w:fill="2A2A2A"/>
      <w:wordWrap w:val="0"/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b/>
      <w:bCs/>
      <w:color w:val="FFFFFF"/>
      <w:sz w:val="17"/>
      <w:szCs w:val="17"/>
    </w:rPr>
  </w:style>
  <w:style w:type="paragraph" w:customStyle="1" w:styleId="jfk-tooltip-data">
    <w:name w:val="jfk-tooltip-dat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apps-share-sprite">
    <w:name w:val="apps-share-sprit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ntrast">
    <w:name w:val="jfk-button-contrast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default">
    <w:name w:val="jfk-button-default"/>
    <w:basedOn w:val="Normal"/>
    <w:rsid w:val="0011435D"/>
    <w:pPr>
      <w:pBdr>
        <w:top w:val="single" w:sz="6" w:space="0" w:color="29691D"/>
        <w:left w:val="single" w:sz="6" w:space="0" w:color="29691D"/>
        <w:bottom w:val="single" w:sz="6" w:space="0" w:color="29691D"/>
        <w:right w:val="single" w:sz="6" w:space="0" w:color="29691D"/>
      </w:pBdr>
      <w:shd w:val="clear" w:color="auto" w:fill="3D94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on-primary">
    <w:name w:val="jfk-button-primary"/>
    <w:basedOn w:val="Normal"/>
    <w:rsid w:val="0011435D"/>
    <w:pPr>
      <w:shd w:val="clear" w:color="auto" w:fill="D148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">
    <w:name w:val="jfk-slidetoggle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405" w:lineRule="atLeast"/>
      <w:ind w:right="240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paragraph" w:customStyle="1" w:styleId="jfk-slidetoggle-on">
    <w:name w:val="jfk-slidetoggle-on"/>
    <w:basedOn w:val="Normal"/>
    <w:rsid w:val="0011435D"/>
    <w:pPr>
      <w:shd w:val="clear" w:color="auto" w:fill="398B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-off">
    <w:name w:val="jfk-slidetoggle-off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slidetoggle-thumb">
    <w:name w:val="jfk-slidetoggle-thumb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button-flat">
    <w:name w:val="jfk-button-flat"/>
    <w:basedOn w:val="Normal"/>
    <w:rsid w:val="0011435D"/>
    <w:pPr>
      <w:spacing w:before="100" w:beforeAutospacing="1" w:after="100" w:afterAutospacing="1" w:line="315" w:lineRule="atLeast"/>
      <w:ind w:right="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on-mini">
    <w:name w:val="jfk-button-mini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55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sharing-aria-region">
    <w:name w:val="sharing-aria-reg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">
    <w:name w:val="share-butterbar-container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hare-butter-icon">
    <w:name w:val="share-butter-icon"/>
    <w:basedOn w:val="Normal"/>
    <w:rsid w:val="0011435D"/>
    <w:pPr>
      <w:spacing w:before="15" w:after="15" w:line="240" w:lineRule="auto"/>
      <w:ind w:right="1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message">
    <w:name w:val="share-butter-message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link">
    <w:name w:val="share-butter-link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content-iframe">
    <w:name w:val="share-client-conten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error-dialog">
    <w:name w:val="share-client-error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share-client-loading-contents">
    <w:name w:val="share-client-loading-contents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pinner">
    <w:name w:val="share-client-spinner"/>
    <w:basedOn w:val="Normal"/>
    <w:rsid w:val="0011435D"/>
    <w:pPr>
      <w:spacing w:before="6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line-share-ui-status">
    <w:name w:val="inline-share-ui-status"/>
    <w:basedOn w:val="Normal"/>
    <w:rsid w:val="0011435D"/>
    <w:pPr>
      <w:shd w:val="clear" w:color="auto" w:fill="F1F4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nline-share-ui-overlay">
    <w:name w:val="inline-share-ui-overlay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panel-dialog-share">
    <w:name w:val="share-client-panel-dialog-sha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loading-dialog">
    <w:name w:val="share-client-loading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cb-button-icon">
    <w:name w:val="scb-button-icon"/>
    <w:basedOn w:val="Normal"/>
    <w:rsid w:val="0011435D"/>
    <w:pPr>
      <w:spacing w:after="0" w:line="240" w:lineRule="auto"/>
      <w:ind w:left="-75"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contents">
    <w:name w:val="scb-tooltip-content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</w:style>
  <w:style w:type="paragraph" w:customStyle="1" w:styleId="scb-tooltip-title">
    <w:name w:val="scb-tooltip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scb-tooltip-text">
    <w:name w:val="scb-tooltip-tex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icon-container">
    <w:name w:val="scb-tooltip-icon-container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separator">
    <w:name w:val="scb-tooltip-separator"/>
    <w:basedOn w:val="Normal"/>
    <w:rsid w:val="0011435D"/>
    <w:pPr>
      <w:pBdr>
        <w:top w:val="single" w:sz="6" w:space="0" w:color="555555"/>
      </w:pBd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white">
    <w:name w:val="scb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black">
    <w:name w:val="scb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white">
    <w:name w:val="scb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black">
    <w:name w:val="scb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white">
    <w:name w:val="scb-domain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black">
    <w:name w:val="scb-domain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white">
    <w:name w:val="scb-domain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black">
    <w:name w:val="scb-domain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white">
    <w:name w:val="scb-privately-shar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black">
    <w:name w:val="scb-privately-shar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white">
    <w:name w:val="scb-private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black">
    <w:name w:val="scb-private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">
    <w:name w:val="share-client-shoutout-prom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-title">
    <w:name w:val="share-client-shoutout-promo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hare-client-shoutout-promo-warning">
    <w:name w:val="share-client-shoutout-promo-warnin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7"/>
      <w:szCs w:val="17"/>
    </w:rPr>
  </w:style>
  <w:style w:type="paragraph" w:customStyle="1" w:styleId="share-client-shoutout-icon">
    <w:name w:val="share-client-shoutout-icon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">
    <w:name w:val="docs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legacy">
    <w:name w:val="docs-icon-img-legacy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container">
    <w:name w:val="docs-icon-img-contain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drive-large-wrapper">
    <w:name w:val="docs-icon-drive-large-wrapp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-container">
    <w:name w:val="googlebar-coldstart-email-container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">
    <w:name w:val="googlebar-coldstart-emai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17"/>
      <w:szCs w:val="17"/>
    </w:rPr>
  </w:style>
  <w:style w:type="paragraph" w:customStyle="1" w:styleId="ss-charts-container">
    <w:name w:val="ss-charts-container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statistics">
    <w:name w:val="ss-statistics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count-container">
    <w:name w:val="ss-response-count-container"/>
    <w:basedOn w:val="Normal"/>
    <w:rsid w:val="0011435D"/>
    <w:pPr>
      <w:spacing w:before="192" w:after="1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chart-container">
    <w:name w:val="ss-chart-container"/>
    <w:basedOn w:val="Normal"/>
    <w:rsid w:val="0011435D"/>
    <w:pPr>
      <w:spacing w:before="100" w:beforeAutospacing="1" w:after="720" w:line="240" w:lineRule="auto"/>
      <w:ind w:righ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value-table">
    <w:name w:val="ss-response-value-table"/>
    <w:basedOn w:val="Normal"/>
    <w:rsid w:val="0011435D"/>
    <w:pPr>
      <w:spacing w:before="100" w:beforeAutospacing="1" w:after="7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otal-num-responses">
    <w:name w:val="ss-total-num-respons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77"/>
      <w:szCs w:val="77"/>
    </w:rPr>
  </w:style>
  <w:style w:type="paragraph" w:customStyle="1" w:styleId="ss-table-label">
    <w:name w:val="ss-table-label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s-table-number">
    <w:name w:val="ss-table-number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ss-table-percentage">
    <w:name w:val="ss-table-percentage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text-answer-container">
    <w:name w:val="ss-text-answer-container"/>
    <w:basedOn w:val="Normal"/>
    <w:rsid w:val="0011435D"/>
    <w:pPr>
      <w:shd w:val="clear" w:color="auto" w:fill="E7E7E7"/>
      <w:spacing w:before="15" w:after="100" w:afterAutospacing="1" w:line="408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ext-answer-group">
    <w:name w:val="ss-text-answer-grou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indiv-chart-title">
    <w:name w:val="ss-indiv-chart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stem">
    <w:name w:val="ss-stem"/>
    <w:basedOn w:val="Normal"/>
    <w:rsid w:val="0011435D"/>
    <w:pPr>
      <w:pBdr>
        <w:right w:val="single" w:sz="12" w:space="6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leaves">
    <w:name w:val="ss-leav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leaf">
    <w:name w:val="ss-leaf"/>
    <w:basedOn w:val="Normal"/>
    <w:rsid w:val="0011435D"/>
    <w:pPr>
      <w:shd w:val="clear" w:color="auto" w:fill="FFEFD5"/>
      <w:spacing w:before="30" w:after="3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">
    <w:name w:val="gb_x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">
    <w:name w:val="gb_0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b">
    <w:name w:val="gb_f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">
    <w:name w:val="gb_y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b">
    <w:name w:val="gb_j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b">
    <w:name w:val="gb_b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c">
    <w:name w:val="gb_m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">
    <w:name w:val="gb_n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">
    <w:name w:val="gsfe_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">
    <w:name w:val="gsfe_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">
    <w:name w:val="g-uni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">
    <w:name w:val="g-fir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">
    <w:name w:val="docs-ic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ontent">
    <w:name w:val="goog-menuitem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">
    <w:name w:val="goog-imageless-button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">
    <w:name w:val="goog-custom-button-inner-bo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">
    <w:name w:val="goog-menu-button-dropd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">
    <w:name w:val="goog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">
    <w:name w:val="goog-control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">
    <w:name w:val="goog-control-ope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disabled">
    <w:name w:val="goog-contro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-disabled">
    <w:name w:val="docs-title-save-labe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">
    <w:name w:val="modal-dialog-userinpu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label">
    <w:name w:val="goog-menuitem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">
    <w:name w:val="jfk-bubble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">
    <w:name w:val="jfk-bubble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">
    <w:name w:val="jfk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">
    <w:name w:val="goog-buttonset-ac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disabled">
    <w:name w:val="goog-buttonset-action[disabled]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img">
    <w:name w:val="goog-flat-menu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">
    <w:name w:val="jfk-radiobutton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">
    <w:name w:val="jfk-tooltip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">
    <w:name w:val="jfk-tooltip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dialog-hidden-title">
    <w:name w:val="share-client-dialog-hidden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">
    <w:name w:val="docs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b">
    <w:name w:val="gb_m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x">
    <w:name w:val="gbx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1">
    <w:name w:val="gb_l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1">
    <w:name w:val="gb_m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1">
    <w:name w:val="gb_j1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zb1">
    <w:name w:val="gb_zb1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2">
    <w:name w:val="gb_zb2"/>
    <w:basedOn w:val="Normal"/>
    <w:rsid w:val="0011435D"/>
    <w:pPr>
      <w:shd w:val="clear" w:color="auto" w:fill="FFFFFF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3">
    <w:name w:val="gb_zb3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4">
    <w:name w:val="gb_zb4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ma2">
    <w:name w:val="gb_ma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2">
    <w:name w:val="gb_la2"/>
    <w:basedOn w:val="Normal"/>
    <w:rsid w:val="0011435D"/>
    <w:pP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l1">
    <w:name w:val="gb_l1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1">
    <w:name w:val="gb_i1"/>
    <w:basedOn w:val="Normal"/>
    <w:rsid w:val="0011435D"/>
    <w:pPr>
      <w:shd w:val="clear" w:color="auto" w:fill="F5F5F5"/>
      <w:spacing w:before="100" w:beforeAutospacing="1" w:after="100" w:afterAutospacing="1" w:line="36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2">
    <w:name w:val="gb_i2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i3">
    <w:name w:val="gb_i3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f1">
    <w:name w:val="gb_f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2">
    <w:name w:val="gb_f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3">
    <w:name w:val="gb_f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4">
    <w:name w:val="gb_f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5">
    <w:name w:val="gb_f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6">
    <w:name w:val="gb_f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7">
    <w:name w:val="gb_f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8">
    <w:name w:val="gb_f8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9">
    <w:name w:val="gb_f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0">
    <w:name w:val="gb_f1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1">
    <w:name w:val="gb_f1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2">
    <w:name w:val="gb_f1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3">
    <w:name w:val="gb_f1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4">
    <w:name w:val="gb_f1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5">
    <w:name w:val="gb_f1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6">
    <w:name w:val="gb_f1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7">
    <w:name w:val="gb_f1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1">
    <w:name w:val="gb_v1"/>
    <w:basedOn w:val="Normal"/>
    <w:rsid w:val="0011435D"/>
    <w:pPr>
      <w:spacing w:before="100" w:beforeAutospacing="1" w:after="100" w:afterAutospacing="1" w:line="270" w:lineRule="atLeast"/>
      <w:ind w:right="1200"/>
      <w:textAlignment w:val="top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f18">
    <w:name w:val="gb_f18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1">
    <w:name w:val="gb_w1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j2">
    <w:name w:val="gb_j2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4">
    <w:name w:val="gb_i4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v2">
    <w:name w:val="gb_v2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i5">
    <w:name w:val="gb_i5"/>
    <w:basedOn w:val="Normal"/>
    <w:rsid w:val="0011435D"/>
    <w:pPr>
      <w:shd w:val="clear" w:color="auto" w:fill="F5F5F5"/>
      <w:spacing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1">
    <w:name w:val="gb_ca1"/>
    <w:basedOn w:val="Normal"/>
    <w:rsid w:val="0011435D"/>
    <w:pPr>
      <w:spacing w:before="90" w:after="0" w:line="39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1">
    <w:name w:val="gb_ea1"/>
    <w:basedOn w:val="Normal"/>
    <w:rsid w:val="0011435D"/>
    <w:pPr>
      <w:spacing w:before="100" w:beforeAutospacing="1" w:after="100" w:afterAutospacing="1" w:line="39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fa1">
    <w:name w:val="gb_fa1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2">
    <w:name w:val="gb_fa2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2">
    <w:name w:val="gb_ca2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ca3">
    <w:name w:val="gb_ca3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1">
    <w:name w:val="gb_11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2">
    <w:name w:val="gb_12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3">
    <w:name w:val="gb_13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after="0" w:line="420" w:lineRule="atLeast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1">
    <w:name w:val="gb_xa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3">
    <w:name w:val="gb_l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EF9DB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ha1">
    <w:name w:val="gb_h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la4">
    <w:name w:val="gb_l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  <w:u w:val="single"/>
    </w:rPr>
  </w:style>
  <w:style w:type="paragraph" w:customStyle="1" w:styleId="gbra1">
    <w:name w:val="gb_ra1"/>
    <w:basedOn w:val="Normal"/>
    <w:rsid w:val="0011435D"/>
    <w:pPr>
      <w:spacing w:before="100" w:beforeAutospacing="1" w:after="100" w:afterAutospacing="1" w:line="240" w:lineRule="auto"/>
      <w:ind w:right="-22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1">
    <w:name w:val="gb_e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2">
    <w:name w:val="gb_e2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3">
    <w:name w:val="gb_e3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1">
    <w:name w:val="gb_0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gbf19">
    <w:name w:val="gb_f1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5">
    <w:name w:val="gb_la5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E5E5E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3a1">
    <w:name w:val="gb_3a1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3a2">
    <w:name w:val="gb_3a2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9a1">
    <w:name w:val="gb_9a1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fb1">
    <w:name w:val="gb_f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3">
    <w:name w:val="gb_j3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pb1">
    <w:name w:val="gb_p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1">
    <w:name w:val="gb_qb1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rb1">
    <w:name w:val="gb_rb1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mb1">
    <w:name w:val="gb_mb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4">
    <w:name w:val="gb_14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5">
    <w:name w:val="gb_15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6">
    <w:name w:val="gb_la6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la7">
    <w:name w:val="gb_la7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4D90FE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ma3">
    <w:name w:val="gb_m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a4">
    <w:name w:val="gb_m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1">
    <w:name w:val="gb_yb1"/>
    <w:basedOn w:val="Normal"/>
    <w:rsid w:val="0011435D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5">
    <w:name w:val="gb_zb5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gbfb2">
    <w:name w:val="gb_fb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3"/>
      <w:szCs w:val="33"/>
    </w:rPr>
  </w:style>
  <w:style w:type="paragraph" w:customStyle="1" w:styleId="gbjb1">
    <w:name w:val="gb_j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customStyle="1" w:styleId="gbbb1">
    <w:name w:val="gb_b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1">
    <w:name w:val="gbqfqw1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2">
    <w:name w:val="gbqfqw2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ind w:left="15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ba1">
    <w:name w:val="gbqfba1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240" w:after="240" w:line="435" w:lineRule="atLeast"/>
      <w:ind w:left="120" w:right="12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f20">
    <w:name w:val="gb_f2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8">
    <w:name w:val="gb_la8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5F5F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c1">
    <w:name w:val="gb_mc1"/>
    <w:basedOn w:val="Normal"/>
    <w:rsid w:val="0011435D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1">
    <w:name w:val="gb_na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1">
    <w:name w:val="gb_cc1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gbmc2">
    <w:name w:val="gb_m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1">
    <w:name w:val="gb_h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1">
    <w:name w:val="gb_f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2">
    <w:name w:val="gb_f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2">
    <w:name w:val="gb_ea2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gbea3">
    <w:name w:val="gb_ea3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gbe4">
    <w:name w:val="gb_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1">
    <w:name w:val="gbii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1">
    <w:name w:val="gbip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3">
    <w:name w:val="gbqfqw3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1">
    <w:name w:val="gsfe_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1">
    <w:name w:val="gsfe_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">
    <w:name w:val="g-unit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">
    <w:name w:val="g-firs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">
    <w:name w:val="g-uni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">
    <w:name w:val="g-uni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">
    <w:name w:val="g-uni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">
    <w:name w:val="g-uni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">
    <w:name w:val="g-firs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">
    <w:name w:val="g-firs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">
    <w:name w:val="g-firs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">
    <w:name w:val="g-firs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">
    <w:name w:val="g-uni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">
    <w:name w:val="g-uni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8">
    <w:name w:val="g-uni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9">
    <w:name w:val="g-uni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">
    <w:name w:val="g-firs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7">
    <w:name w:val="g-firs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8">
    <w:name w:val="g-firs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9">
    <w:name w:val="g-firs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0">
    <w:name w:val="g-uni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1">
    <w:name w:val="g-uni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2">
    <w:name w:val="g-uni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3">
    <w:name w:val="g-uni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0">
    <w:name w:val="g-firs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1">
    <w:name w:val="g-firs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2">
    <w:name w:val="g-firs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3">
    <w:name w:val="g-firs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4">
    <w:name w:val="g-uni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5">
    <w:name w:val="g-uni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6">
    <w:name w:val="g-uni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7">
    <w:name w:val="g-uni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4">
    <w:name w:val="g-firs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5">
    <w:name w:val="g-firs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6">
    <w:name w:val="g-firs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7">
    <w:name w:val="g-firs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8">
    <w:name w:val="g-uni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9">
    <w:name w:val="g-uni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0">
    <w:name w:val="g-uni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1">
    <w:name w:val="g-uni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8">
    <w:name w:val="g-firs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9">
    <w:name w:val="g-firs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0">
    <w:name w:val="g-firs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1">
    <w:name w:val="g-firs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2">
    <w:name w:val="g-uni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3">
    <w:name w:val="g-uni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4">
    <w:name w:val="g-uni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5">
    <w:name w:val="g-uni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2">
    <w:name w:val="g-firs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3">
    <w:name w:val="g-firs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4">
    <w:name w:val="g-firs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5">
    <w:name w:val="g-firs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6">
    <w:name w:val="g-uni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7">
    <w:name w:val="g-uni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8">
    <w:name w:val="g-uni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9">
    <w:name w:val="g-uni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6">
    <w:name w:val="g-firs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7">
    <w:name w:val="g-firs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8">
    <w:name w:val="g-firs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9">
    <w:name w:val="g-firs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0">
    <w:name w:val="g-uni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1">
    <w:name w:val="g-uni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2">
    <w:name w:val="g-uni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3">
    <w:name w:val="g-uni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0">
    <w:name w:val="g-firs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1">
    <w:name w:val="g-firs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2">
    <w:name w:val="g-firs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3">
    <w:name w:val="g-firs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4">
    <w:name w:val="g-uni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5">
    <w:name w:val="g-uni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6">
    <w:name w:val="g-uni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7">
    <w:name w:val="g-uni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4">
    <w:name w:val="g-firs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5">
    <w:name w:val="g-firs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6">
    <w:name w:val="g-firs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7">
    <w:name w:val="g-firs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8">
    <w:name w:val="g-uni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9">
    <w:name w:val="g-uni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0">
    <w:name w:val="g-uni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1">
    <w:name w:val="g-uni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8">
    <w:name w:val="g-firs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9">
    <w:name w:val="g-firs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0">
    <w:name w:val="g-firs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1">
    <w:name w:val="g-firs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1">
    <w:name w:val="g-section1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2">
    <w:name w:val="g-uni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3">
    <w:name w:val="g-uni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4">
    <w:name w:val="g-uni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5">
    <w:name w:val="g-uni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6">
    <w:name w:val="g-uni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7">
    <w:name w:val="g-uni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8">
    <w:name w:val="g-uni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9">
    <w:name w:val="g-uni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0">
    <w:name w:val="g-unit50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1">
    <w:name w:val="g-unit51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2">
    <w:name w:val="g-unit52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3">
    <w:name w:val="g-unit53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2">
    <w:name w:val="g-firs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3">
    <w:name w:val="g-firs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4">
    <w:name w:val="g-firs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5">
    <w:name w:val="g-firs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4">
    <w:name w:val="g-unit54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5">
    <w:name w:val="g-unit55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6">
    <w:name w:val="g-unit56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7">
    <w:name w:val="g-unit57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6">
    <w:name w:val="g-firs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7">
    <w:name w:val="g-firs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8">
    <w:name w:val="g-firs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9">
    <w:name w:val="g-firs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8">
    <w:name w:val="g-unit58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9">
    <w:name w:val="g-unit59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0">
    <w:name w:val="g-unit60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1">
    <w:name w:val="g-unit61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0">
    <w:name w:val="g-first5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1">
    <w:name w:val="g-first5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2">
    <w:name w:val="g-first5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3">
    <w:name w:val="g-first5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2">
    <w:name w:val="g-unit62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3">
    <w:name w:val="g-unit63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4">
    <w:name w:val="g-unit64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5">
    <w:name w:val="g-unit65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4">
    <w:name w:val="g-first5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5">
    <w:name w:val="g-first5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6">
    <w:name w:val="g-first5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7">
    <w:name w:val="g-first5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6">
    <w:name w:val="g-unit66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7">
    <w:name w:val="g-unit67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8">
    <w:name w:val="g-unit68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9">
    <w:name w:val="g-unit69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8">
    <w:name w:val="g-first5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9">
    <w:name w:val="g-first5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0">
    <w:name w:val="g-first6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1">
    <w:name w:val="g-first6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0">
    <w:name w:val="g-unit70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1">
    <w:name w:val="g-unit71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2">
    <w:name w:val="g-unit72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3">
    <w:name w:val="g-unit73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2">
    <w:name w:val="g-first6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3">
    <w:name w:val="g-first6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4">
    <w:name w:val="g-first6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5">
    <w:name w:val="g-first6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1">
    <w:name w:val="goog-toolbar-menu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1">
    <w:name w:val="goog-toolbar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1">
    <w:name w:val="goog-toolbar-button-inner-box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2">
    <w:name w:val="goog-toolbar-button-outer-box2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2">
    <w:name w:val="goog-toolbar-button-inner-box2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1">
    <w:name w:val="goog-toolbar-menu-button-dropdown1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1">
    <w:name w:val="docs-icon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2">
    <w:name w:val="docs-icon2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3">
    <w:name w:val="docs-icon3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1">
    <w:name w:val="goog-toolbar-menu-button-inner-box1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2">
    <w:name w:val="goog-toolbar-menu-button-inner-box2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2">
    <w:name w:val="goog-toolbar-menu-button-dropdown2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3">
    <w:name w:val="goog-toolbar-menu-button-inner-box3"/>
    <w:basedOn w:val="Normal"/>
    <w:rsid w:val="0011435D"/>
    <w:pPr>
      <w:spacing w:after="0" w:line="240" w:lineRule="auto"/>
      <w:ind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1">
    <w:name w:val="goog-toolbar-menu-button-caption1"/>
    <w:basedOn w:val="Normal"/>
    <w:rsid w:val="0011435D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3">
    <w:name w:val="goog-toolbar-menu-button-dropdown3"/>
    <w:basedOn w:val="Normal"/>
    <w:rsid w:val="0011435D"/>
    <w:pPr>
      <w:spacing w:before="105" w:after="0" w:line="240" w:lineRule="auto"/>
      <w:ind w:left="75"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4">
    <w:name w:val="goog-toolbar-menu-button-dropdown4"/>
    <w:basedOn w:val="Normal"/>
    <w:rsid w:val="0011435D"/>
    <w:pPr>
      <w:spacing w:before="135" w:after="0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5">
    <w:name w:val="goog-toolbar-menu-button-dropdown5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3">
    <w:name w:val="goog-toolbar-button-outer-box3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2">
    <w:name w:val="goog-toolbar-menu-button-outer-box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1">
    <w:name w:val="docs-icon-img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1">
    <w:name w:val="goog-menuitem1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2">
    <w:name w:val="goog-menuitem2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3">
    <w:name w:val="goog-menuitem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1">
    <w:name w:val="goog-menuitem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2">
    <w:name w:val="goog-menuitem-conten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3">
    <w:name w:val="goog-menuitem-content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docs-butterbar-link1">
    <w:name w:val="docs-butterbar-lin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-no-pad1">
    <w:name w:val="docs-butterbar-link-no-pa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2">
    <w:name w:val="docs-butterbar-lin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butterbar-link-no-pad2">
    <w:name w:val="docs-butterbar-link-no-pad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title1">
    <w:name w:val="docs-title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4">
    <w:name w:val="docs-icon4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1">
    <w:name w:val="goog-imageless-button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1">
    <w:name w:val="goog-custom-button-inner-box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1">
    <w:name w:val="goog-menu-button-dropdown1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1">
    <w:name w:val="goog-contro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1">
    <w:name w:val="goog-control-hover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1">
    <w:name w:val="goog-control-open1"/>
    <w:basedOn w:val="Normal"/>
    <w:rsid w:val="0011435D"/>
    <w:pPr>
      <w:pBdr>
        <w:top w:val="single" w:sz="6" w:space="0" w:color="CCCCCC"/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control-disabled1">
    <w:name w:val="goog-control-disable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</w:rPr>
  </w:style>
  <w:style w:type="paragraph" w:customStyle="1" w:styleId="modal-dialog-userinput1">
    <w:name w:val="modal-dialog-userinpu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2">
    <w:name w:val="modal-dialog-userinpu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hint1">
    <w:name w:val="goog-menuitem-mnemonic-hi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separator1">
    <w:name w:val="goog-menuitem-mnemonic-separator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777777"/>
      <w:sz w:val="18"/>
      <w:szCs w:val="18"/>
    </w:rPr>
  </w:style>
  <w:style w:type="paragraph" w:customStyle="1" w:styleId="goog-menuitem-label1">
    <w:name w:val="goog-menuitem-labe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1">
    <w:name w:val="goog-menuitem-accel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submenu-arrow1">
    <w:name w:val="goog-submenu-arrow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activityindicator-icon1">
    <w:name w:val="jfk-activityindicator-ico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1">
    <w:name w:val="jfk-bubble-arrowimplbefore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1">
    <w:name w:val="jfk-bubble-arrowimplafter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2">
    <w:name w:val="jfk-bubble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2">
    <w:name w:val="jfk-bubble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3">
    <w:name w:val="jfk-bubble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3">
    <w:name w:val="jfk-bubble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4">
    <w:name w:val="jfk-bubble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4">
    <w:name w:val="jfk-bubble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5">
    <w:name w:val="jfk-bubble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5">
    <w:name w:val="jfk-bubble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1">
    <w:name w:val="jfk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1">
    <w:name w:val="jfk-checkbox-checkmar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2">
    <w:name w:val="jfk-checkbox-checkmar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1">
    <w:name w:val="goog-buttonset-action1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buttonset-actiondisabled1">
    <w:name w:val="goog-buttonset-action[disabled]1"/>
    <w:basedOn w:val="Normal"/>
    <w:rsid w:val="0011435D"/>
    <w:pP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flat-menu-button-img1">
    <w:name w:val="goog-flat-menu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2">
    <w:name w:val="goog-submenu-arrow2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oog-submenu-arrow3">
    <w:name w:val="goog-submenu-arrow3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-radio1">
    <w:name w:val="jfk-radiobutton-radio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1">
    <w:name w:val="jfk-radiobutton-label1"/>
    <w:basedOn w:val="Normal"/>
    <w:rsid w:val="0011435D"/>
    <w:pPr>
      <w:spacing w:before="100" w:beforeAutospacing="1" w:after="100" w:afterAutospacing="1" w:line="240" w:lineRule="auto"/>
      <w:ind w:lef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2">
    <w:name w:val="jfk-radiobutton-radio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2">
    <w:name w:val="jfk-radiobutton-label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jfk-tooltip-arrowimplbefore1">
    <w:name w:val="jfk-tooltip-arrowimplbefore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1">
    <w:name w:val="jfk-tooltip-arrowimplafter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2">
    <w:name w:val="jfk-tooltip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2">
    <w:name w:val="jfk-tooltip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3">
    <w:name w:val="jfk-tooltip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3">
    <w:name w:val="jfk-tooltip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4">
    <w:name w:val="jfk-tooltip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4">
    <w:name w:val="jfk-tooltip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5">
    <w:name w:val="jfk-tooltip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5">
    <w:name w:val="jfk-tooltip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2">
    <w:name w:val="jfk-button-img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label1">
    <w:name w:val="jfk-button-label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1">
    <w:name w:val="share-butterbar-container1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jfk-butterbar-shown1">
    <w:name w:val="jfk-butterbar-show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1">
    <w:name w:val="modal-dialog-content1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1">
    <w:name w:val="modal-dialog-title1"/>
    <w:basedOn w:val="Normal"/>
    <w:rsid w:val="0011435D"/>
    <w:pPr>
      <w:shd w:val="clear" w:color="auto" w:fill="FFFFFF"/>
      <w:spacing w:after="240" w:line="360" w:lineRule="atLeas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hare-client-dialog-hidden-title1">
    <w:name w:val="share-client-dialog-hidden-title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1">
    <w:name w:val="modal-dialog-buttons1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icon5">
    <w:name w:val="docs-icon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bfa3">
    <w:name w:val="gb_fa3"/>
    <w:basedOn w:val="DefaultParagraphFont"/>
    <w:rsid w:val="0011435D"/>
    <w:rPr>
      <w:bdr w:val="none" w:sz="0" w:space="0" w:color="auto" w:frame="1"/>
    </w:rPr>
  </w:style>
  <w:style w:type="character" w:customStyle="1" w:styleId="gbta1">
    <w:name w:val="gb_ta1"/>
    <w:basedOn w:val="DefaultParagraphFont"/>
    <w:rsid w:val="0011435D"/>
    <w:rPr>
      <w:b/>
      <w:bCs/>
      <w:color w:val="FFFFFF"/>
      <w:sz w:val="14"/>
      <w:szCs w:val="14"/>
    </w:rPr>
  </w:style>
  <w:style w:type="character" w:customStyle="1" w:styleId="gbka1">
    <w:name w:val="gb_ka1"/>
    <w:basedOn w:val="DefaultParagraphFont"/>
    <w:rsid w:val="0011435D"/>
  </w:style>
  <w:style w:type="character" w:customStyle="1" w:styleId="ss-total-num-responses1">
    <w:name w:val="ss-total-num-responses1"/>
    <w:basedOn w:val="DefaultParagraphFont"/>
    <w:rsid w:val="0011435D"/>
    <w:rPr>
      <w:b/>
      <w:bCs/>
      <w:sz w:val="77"/>
      <w:szCs w:val="7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0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B8F"/>
  </w:style>
  <w:style w:type="paragraph" w:styleId="Footer">
    <w:name w:val="footer"/>
    <w:aliases w:val="ft"/>
    <w:basedOn w:val="Normal"/>
    <w:link w:val="Foot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9C6B8F"/>
  </w:style>
  <w:style w:type="paragraph" w:styleId="Title">
    <w:name w:val="Title"/>
    <w:aliases w:val="Char Char, Char"/>
    <w:basedOn w:val="Normal"/>
    <w:link w:val="TitleChar"/>
    <w:uiPriority w:val="10"/>
    <w:qFormat/>
    <w:rsid w:val="005919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190A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640CAD"/>
    <w:pPr>
      <w:spacing w:after="200" w:line="276" w:lineRule="auto"/>
      <w:ind w:left="720"/>
      <w:contextualSpacing/>
    </w:pPr>
    <w:rPr>
      <w:rFonts w:ascii="Times New Roman" w:hAnsi="Times New Roman"/>
      <w:sz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0CA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0CAD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0CA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640CAD"/>
    <w:rPr>
      <w:i/>
      <w:iCs/>
    </w:rPr>
  </w:style>
  <w:style w:type="character" w:customStyle="1" w:styleId="hps">
    <w:name w:val="hps"/>
    <w:basedOn w:val="DefaultParagraphFont"/>
    <w:rsid w:val="00640CAD"/>
  </w:style>
  <w:style w:type="character" w:customStyle="1" w:styleId="st">
    <w:name w:val="st"/>
    <w:basedOn w:val="DefaultParagraphFont"/>
    <w:rsid w:val="00640CAD"/>
  </w:style>
  <w:style w:type="table" w:styleId="TableGrid">
    <w:name w:val="Table Grid"/>
    <w:basedOn w:val="TableNormal"/>
    <w:uiPriority w:val="39"/>
    <w:rsid w:val="008E5E75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DefaultParagraphFont"/>
    <w:uiPriority w:val="99"/>
    <w:unhideWhenUsed/>
    <w:rsid w:val="00B1315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B02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2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2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2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102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0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9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60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6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61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1383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50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4506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22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2382873">
                                              <w:marLeft w:val="0"/>
                                              <w:marRight w:val="0"/>
                                              <w:marTop w:val="90"/>
                                              <w:marBottom w:val="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859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19635">
                                          <w:marLeft w:val="15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00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85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460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auto"/>
                                        <w:left w:val="dashed" w:sz="48" w:space="0" w:color="auto"/>
                                        <w:bottom w:val="single" w:sz="48" w:space="0" w:color="FFFFFF"/>
                                        <w:right w:val="dashed" w:sz="48" w:space="0" w:color="auto"/>
                                      </w:divBdr>
                                    </w:div>
                                    <w:div w:id="126812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4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22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63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8867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144963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3434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2262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1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259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1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83355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65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38847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6577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23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2596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53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54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80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151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32729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430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69878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63252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7676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9825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088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869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800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3489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65866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12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191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9222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56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0450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8951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1114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078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5387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29083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7757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7614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8312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377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6297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0424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039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2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3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9042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76340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4878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3487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0213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193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6354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9022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51535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656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3582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0916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7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9300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3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54655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05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5694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53957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56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597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72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9760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5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26592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15290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6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8246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7219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534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996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93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57450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2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5315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1193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5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06177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1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5913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036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7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0730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3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074096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20448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0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537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5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82440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2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1380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8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4662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46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5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16556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34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4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64961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1762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6560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024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8462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001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2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83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2443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822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981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53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4250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20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3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48911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707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8436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9675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9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993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3605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8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889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13997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48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9105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54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1693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2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52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67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56347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51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992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8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83996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71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344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5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32606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42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8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0101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86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71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3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76846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14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884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36811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5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878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2103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86708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22457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3568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66184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707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777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9657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5363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9230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40041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85947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34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913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28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4621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36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489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24155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97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46546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77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28685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3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3323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54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00628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33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41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9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150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9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93781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4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76466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57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234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4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240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3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5382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4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81814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52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438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8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8558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63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6813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87016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52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575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2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73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8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5830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9204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19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37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1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86075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99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01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7574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83632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149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3451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052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77494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66104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369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5788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44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51969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4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72401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9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9154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90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7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88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7072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78629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53819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796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5422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847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6922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0772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91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8127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1924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076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64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7880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2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1325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19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34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4239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163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28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89077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04783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989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4416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925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8759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635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897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1725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1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14373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08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69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0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0977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6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6301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894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8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500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7104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31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2326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9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64342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17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5063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17276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06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63400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7269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1903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450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03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77828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34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543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7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403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313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9391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4163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7715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72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3047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69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2461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5400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591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9857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9731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8907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10359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4704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300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4958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5219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4119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5998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2017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790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6865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867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8861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909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2698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52483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62321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753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67330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4868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4162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03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3776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081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6256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9116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69608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475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2395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675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43502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1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6672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58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4434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8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6569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2378362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0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regional_policy/index.cfm/en/information/publications/guidelines/2014/guidance-on-simplified-cost-options-scos-flat-rate-financing-standard-scales-of-unit-costs-lump-sum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F536B-1726-43DF-96C8-E927EF03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23</Pages>
  <Words>6254</Words>
  <Characters>35653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41824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KateG</dc:creator>
  <cp:lastModifiedBy>Monika Mihova</cp:lastModifiedBy>
  <cp:revision>11</cp:revision>
  <cp:lastPrinted>2015-03-04T14:50:00Z</cp:lastPrinted>
  <dcterms:created xsi:type="dcterms:W3CDTF">2015-03-28T18:41:00Z</dcterms:created>
  <dcterms:modified xsi:type="dcterms:W3CDTF">2015-05-18T10:52:00Z</dcterms:modified>
</cp:coreProperties>
</file>